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A98D8">
      <w:pPr>
        <w:jc w:val="left"/>
        <w:rPr>
          <w:rFonts w:hint="eastAsia" w:eastAsia="宋体"/>
          <w:color w:val="auto"/>
          <w:highlight w:val="none"/>
          <w:lang w:val="en-US" w:eastAsia="zh-CN"/>
        </w:rPr>
      </w:pPr>
      <w:r>
        <w:rPr>
          <w:rFonts w:hint="eastAsia"/>
          <w:color w:val="auto"/>
          <w:highlight w:val="none"/>
          <w:lang w:val="en-US" w:eastAsia="zh-CN"/>
        </w:rPr>
        <w:t xml:space="preserve"> </w:t>
      </w:r>
    </w:p>
    <w:p w14:paraId="52CA8331">
      <w:pPr>
        <w:rPr>
          <w:color w:val="auto"/>
          <w:highlight w:val="none"/>
        </w:rPr>
      </w:pPr>
      <w:bookmarkStart w:id="0" w:name="EB3ace3d43b98b41779337deb808be6fa3"/>
      <w:r>
        <w:rPr>
          <w:rFonts w:hint="eastAsia"/>
          <w:color w:val="auto"/>
          <w:sz w:val="20"/>
          <w:highlight w:val="none"/>
        </w:rPr>
        <w:t xml:space="preserve"> </w:t>
      </w:r>
      <w:bookmarkEnd w:id="0"/>
      <w:bookmarkStart w:id="1" w:name="EB57dd2a69e2b54b0cb3f5c2f03a1ab7bf"/>
      <w:r>
        <w:rPr>
          <w:rFonts w:hint="eastAsia"/>
          <w:color w:val="auto"/>
          <w:sz w:val="20"/>
          <w:highlight w:val="none"/>
        </w:rPr>
        <w:t xml:space="preserve"> </w:t>
      </w:r>
      <w:bookmarkEnd w:id="1"/>
    </w:p>
    <w:p w14:paraId="7CBF61FC">
      <w:pPr>
        <w:rPr>
          <w:color w:val="auto"/>
          <w:highlight w:val="none"/>
        </w:rPr>
      </w:pPr>
    </w:p>
    <w:p w14:paraId="6A4DA81F">
      <w:pPr>
        <w:spacing w:before="120" w:after="120" w:line="360" w:lineRule="auto"/>
        <w:jc w:val="center"/>
        <w:rPr>
          <w:rFonts w:hint="eastAsia" w:ascii="Arial" w:hAnsi="Arial" w:eastAsia="黑体" w:cs="黑体"/>
          <w:b/>
          <w:color w:val="auto"/>
          <w:sz w:val="84"/>
          <w:szCs w:val="24"/>
          <w:highlight w:val="none"/>
          <w:lang w:bidi="ar"/>
        </w:rPr>
      </w:pPr>
      <w:r>
        <w:rPr>
          <w:rFonts w:hint="eastAsia" w:ascii="Arial" w:hAnsi="Arial" w:eastAsia="黑体" w:cs="黑体"/>
          <w:b/>
          <w:color w:val="auto"/>
          <w:sz w:val="84"/>
          <w:szCs w:val="24"/>
          <w:highlight w:val="none"/>
          <w:lang w:bidi="ar"/>
        </w:rPr>
        <w:t>招　标　文　件</w:t>
      </w:r>
    </w:p>
    <w:p w14:paraId="6DED0069">
      <w:pPr>
        <w:rPr>
          <w:rFonts w:hint="eastAsia" w:ascii="Times New Roman" w:hAnsi="Times New Roman" w:cs="宋体"/>
          <w:b/>
          <w:color w:val="auto"/>
          <w:sz w:val="30"/>
          <w:szCs w:val="30"/>
          <w:highlight w:val="none"/>
          <w:lang w:bidi="ar"/>
        </w:rPr>
      </w:pPr>
    </w:p>
    <w:p w14:paraId="18FF433B">
      <w:pPr>
        <w:rPr>
          <w:rFonts w:hint="eastAsia" w:ascii="Times New Roman" w:hAnsi="Times New Roman" w:cs="宋体"/>
          <w:b/>
          <w:color w:val="auto"/>
          <w:sz w:val="30"/>
          <w:szCs w:val="30"/>
          <w:highlight w:val="none"/>
          <w:lang w:bidi="ar"/>
        </w:rPr>
      </w:pPr>
    </w:p>
    <w:p w14:paraId="193215C7">
      <w:pPr>
        <w:ind w:firstLine="1506"/>
        <w:rPr>
          <w:rFonts w:hint="eastAsia"/>
          <w:b/>
          <w:color w:val="auto"/>
          <w:sz w:val="30"/>
          <w:szCs w:val="30"/>
          <w:highlight w:val="none"/>
        </w:rPr>
      </w:pPr>
      <w:r>
        <w:rPr>
          <w:rFonts w:hint="eastAsia" w:ascii="Times New Roman" w:hAnsi="Times New Roman" w:cs="宋体"/>
          <w:b/>
          <w:color w:val="auto"/>
          <w:sz w:val="30"/>
          <w:szCs w:val="30"/>
          <w:highlight w:val="none"/>
          <w:lang w:bidi="ar"/>
        </w:rPr>
        <w:t>项目名称：</w:t>
      </w:r>
      <w:r>
        <w:rPr>
          <w:rFonts w:hint="eastAsia" w:eastAsia="宋体"/>
          <w:b/>
          <w:bCs/>
          <w:sz w:val="32"/>
          <w:szCs w:val="24"/>
          <w:lang w:eastAsia="zh-CN"/>
        </w:rPr>
        <w:t>沭阳县农业面源污染水质自动站建设项目</w:t>
      </w:r>
      <w:r>
        <w:rPr>
          <w:rFonts w:hint="eastAsia" w:ascii="Times New Roman" w:hAnsi="Times New Roman" w:cs="宋体"/>
          <w:b/>
          <w:color w:val="auto"/>
          <w:sz w:val="30"/>
          <w:szCs w:val="30"/>
          <w:highlight w:val="none"/>
          <w:lang w:bidi="ar"/>
        </w:rPr>
        <w:t xml:space="preserve"> </w:t>
      </w:r>
    </w:p>
    <w:p w14:paraId="3FE5CA34">
      <w:pPr>
        <w:ind w:firstLine="1506"/>
        <w:rPr>
          <w:rFonts w:hint="eastAsia" w:ascii="Times New Roman" w:hAnsi="Times New Roman" w:cs="宋体"/>
          <w:b/>
          <w:color w:val="auto"/>
          <w:sz w:val="30"/>
          <w:szCs w:val="30"/>
          <w:highlight w:val="none"/>
          <w:lang w:bidi="ar"/>
        </w:rPr>
      </w:pPr>
    </w:p>
    <w:p w14:paraId="18040E6E">
      <w:pPr>
        <w:ind w:firstLine="1506"/>
        <w:rPr>
          <w:rFonts w:hint="eastAsia" w:ascii="Times New Roman" w:hAnsi="Times New Roman" w:eastAsia="宋体" w:cs="宋体"/>
          <w:b/>
          <w:color w:val="auto"/>
          <w:sz w:val="30"/>
          <w:szCs w:val="30"/>
          <w:highlight w:val="none"/>
          <w:lang w:eastAsia="zh-CN" w:bidi="ar"/>
        </w:rPr>
      </w:pPr>
      <w:r>
        <w:rPr>
          <w:rFonts w:hint="eastAsia" w:ascii="Times New Roman" w:hAnsi="Times New Roman" w:cs="宋体"/>
          <w:b/>
          <w:color w:val="auto"/>
          <w:sz w:val="30"/>
          <w:szCs w:val="30"/>
          <w:highlight w:val="none"/>
          <w:lang w:bidi="ar"/>
        </w:rPr>
        <w:t>项目编号：</w:t>
      </w:r>
      <w:r>
        <w:rPr>
          <w:rFonts w:hint="eastAsia" w:ascii="Times New Roman" w:hAnsi="Times New Roman"/>
          <w:b/>
          <w:color w:val="auto"/>
          <w:sz w:val="30"/>
          <w:szCs w:val="30"/>
          <w:highlight w:val="yellow"/>
          <w:lang w:val="en-US" w:eastAsia="zh-CN" w:bidi="ar"/>
        </w:rPr>
        <w:t xml:space="preserve"> </w:t>
      </w:r>
    </w:p>
    <w:p w14:paraId="4F1B2E44">
      <w:pPr>
        <w:ind w:left="2800" w:hanging="2800"/>
        <w:rPr>
          <w:rFonts w:ascii="Times New Roman" w:hAnsi="Times New Roman"/>
          <w:color w:val="auto"/>
          <w:sz w:val="28"/>
          <w:szCs w:val="28"/>
          <w:highlight w:val="none"/>
          <w:lang w:bidi="ar"/>
        </w:rPr>
      </w:pPr>
    </w:p>
    <w:p w14:paraId="2E0A66B4">
      <w:pPr>
        <w:ind w:left="2800" w:hanging="2800"/>
        <w:rPr>
          <w:b/>
          <w:color w:val="auto"/>
          <w:sz w:val="28"/>
          <w:szCs w:val="28"/>
          <w:highlight w:val="none"/>
        </w:rPr>
      </w:pPr>
      <w:r>
        <w:rPr>
          <w:rFonts w:ascii="Times New Roman" w:hAnsi="Times New Roman"/>
          <w:color w:val="auto"/>
          <w:sz w:val="28"/>
          <w:szCs w:val="28"/>
          <w:highlight w:val="none"/>
          <w:lang w:bidi="ar"/>
        </w:rPr>
        <w:t xml:space="preserve">       </w:t>
      </w:r>
      <w:r>
        <w:rPr>
          <w:rFonts w:hint="eastAsia" w:ascii="Times New Roman" w:hAnsi="Times New Roman"/>
          <w:color w:val="auto"/>
          <w:sz w:val="28"/>
          <w:szCs w:val="28"/>
          <w:highlight w:val="none"/>
          <w:lang w:bidi="ar"/>
        </w:rPr>
        <w:t xml:space="preserve">   </w:t>
      </w:r>
      <w:r>
        <w:rPr>
          <w:rFonts w:ascii="Times New Roman" w:hAnsi="Times New Roman"/>
          <w:b/>
          <w:color w:val="auto"/>
          <w:sz w:val="28"/>
          <w:szCs w:val="28"/>
          <w:highlight w:val="none"/>
          <w:lang w:bidi="ar"/>
        </w:rPr>
        <w:t xml:space="preserve"> </w:t>
      </w:r>
    </w:p>
    <w:p w14:paraId="00F37F0F">
      <w:pPr>
        <w:spacing w:line="360" w:lineRule="auto"/>
        <w:jc w:val="left"/>
        <w:rPr>
          <w:rFonts w:ascii="宋体" w:hAnsi="宋体" w:cs="宋体"/>
          <w:color w:val="auto"/>
          <w:sz w:val="24"/>
          <w:szCs w:val="24"/>
          <w:highlight w:val="none"/>
        </w:rPr>
      </w:pPr>
    </w:p>
    <w:p w14:paraId="27452618">
      <w:pPr>
        <w:spacing w:line="360" w:lineRule="auto"/>
        <w:jc w:val="left"/>
        <w:rPr>
          <w:rFonts w:ascii="宋体" w:hAnsi="宋体" w:cs="宋体"/>
          <w:color w:val="auto"/>
          <w:sz w:val="24"/>
          <w:szCs w:val="24"/>
          <w:highlight w:val="none"/>
        </w:rPr>
      </w:pPr>
    </w:p>
    <w:p w14:paraId="71B46072">
      <w:pPr>
        <w:spacing w:line="360" w:lineRule="auto"/>
        <w:jc w:val="left"/>
        <w:rPr>
          <w:rFonts w:ascii="宋体" w:hAnsi="宋体" w:cs="宋体"/>
          <w:color w:val="auto"/>
          <w:sz w:val="24"/>
          <w:szCs w:val="24"/>
          <w:highlight w:val="none"/>
        </w:rPr>
      </w:pPr>
    </w:p>
    <w:p w14:paraId="3A075CD4">
      <w:pPr>
        <w:spacing w:line="360" w:lineRule="auto"/>
        <w:jc w:val="left"/>
        <w:rPr>
          <w:rFonts w:ascii="宋体" w:hAnsi="宋体" w:cs="宋体"/>
          <w:color w:val="auto"/>
          <w:sz w:val="24"/>
          <w:szCs w:val="24"/>
          <w:highlight w:val="none"/>
        </w:rPr>
      </w:pPr>
    </w:p>
    <w:p w14:paraId="10D7B8B8">
      <w:pPr>
        <w:spacing w:line="360" w:lineRule="auto"/>
        <w:jc w:val="left"/>
        <w:rPr>
          <w:rFonts w:ascii="宋体" w:hAnsi="宋体" w:cs="宋体"/>
          <w:color w:val="auto"/>
          <w:sz w:val="24"/>
          <w:szCs w:val="24"/>
          <w:highlight w:val="none"/>
        </w:rPr>
      </w:pPr>
    </w:p>
    <w:p w14:paraId="295390E8">
      <w:pPr>
        <w:spacing w:line="360" w:lineRule="auto"/>
        <w:jc w:val="left"/>
        <w:rPr>
          <w:rFonts w:ascii="宋体" w:hAnsi="宋体" w:cs="宋体"/>
          <w:color w:val="auto"/>
          <w:sz w:val="24"/>
          <w:szCs w:val="24"/>
          <w:highlight w:val="none"/>
        </w:rPr>
      </w:pPr>
    </w:p>
    <w:tbl>
      <w:tblPr>
        <w:tblStyle w:val="53"/>
        <w:tblpPr w:leftFromText="180" w:rightFromText="180" w:vertAnchor="text" w:horzAnchor="page" w:tblpX="2413" w:tblpY="466"/>
        <w:tblW w:w="0" w:type="auto"/>
        <w:tblInd w:w="0" w:type="dxa"/>
        <w:tblLayout w:type="autofit"/>
        <w:tblCellMar>
          <w:top w:w="0" w:type="dxa"/>
          <w:left w:w="108" w:type="dxa"/>
          <w:bottom w:w="0" w:type="dxa"/>
          <w:right w:w="108" w:type="dxa"/>
        </w:tblCellMar>
      </w:tblPr>
      <w:tblGrid>
        <w:gridCol w:w="2675"/>
        <w:gridCol w:w="4752"/>
      </w:tblGrid>
      <w:tr w14:paraId="6D1ABDA4">
        <w:tblPrEx>
          <w:tblCellMar>
            <w:top w:w="0" w:type="dxa"/>
            <w:left w:w="108" w:type="dxa"/>
            <w:bottom w:w="0" w:type="dxa"/>
            <w:right w:w="108" w:type="dxa"/>
          </w:tblCellMar>
        </w:tblPrEx>
        <w:trPr>
          <w:trHeight w:val="586" w:hRule="atLeast"/>
        </w:trPr>
        <w:tc>
          <w:tcPr>
            <w:tcW w:w="2675" w:type="dxa"/>
            <w:noWrap w:val="0"/>
            <w:vAlign w:val="center"/>
          </w:tcPr>
          <w:p w14:paraId="4692CC76">
            <w:pPr>
              <w:spacing w:line="500" w:lineRule="exact"/>
              <w:jc w:val="left"/>
              <w:rPr>
                <w:rFonts w:ascii="仿宋" w:hAnsi="仿宋" w:eastAsia="仿宋" w:cs="仿宋"/>
                <w:color w:val="auto"/>
                <w:sz w:val="24"/>
                <w:szCs w:val="24"/>
                <w:highlight w:val="none"/>
              </w:rPr>
            </w:pPr>
            <w:r>
              <w:rPr>
                <w:rFonts w:hint="eastAsia" w:ascii="Times New Roman" w:hAnsi="Times New Roman"/>
                <w:b/>
                <w:bCs/>
                <w:color w:val="auto"/>
                <w:spacing w:val="45"/>
                <w:sz w:val="32"/>
                <w:szCs w:val="24"/>
                <w:highlight w:val="none"/>
              </w:rPr>
              <w:t>采  购 人</w:t>
            </w:r>
            <w:r>
              <w:rPr>
                <w:rFonts w:hint="eastAsia" w:ascii="Times New Roman" w:hAnsi="Times New Roman"/>
                <w:b/>
                <w:bCs/>
                <w:color w:val="auto"/>
                <w:spacing w:val="1"/>
                <w:sz w:val="32"/>
                <w:szCs w:val="24"/>
                <w:highlight w:val="none"/>
              </w:rPr>
              <w:t>：</w:t>
            </w:r>
          </w:p>
        </w:tc>
        <w:tc>
          <w:tcPr>
            <w:tcW w:w="4752" w:type="dxa"/>
            <w:noWrap w:val="0"/>
            <w:vAlign w:val="center"/>
          </w:tcPr>
          <w:p w14:paraId="79FA9F29">
            <w:pPr>
              <w:spacing w:line="500" w:lineRule="exact"/>
              <w:jc w:val="left"/>
              <w:rPr>
                <w:rFonts w:hint="eastAsia" w:ascii="仿宋" w:hAnsi="仿宋" w:cs="仿宋"/>
                <w:color w:val="auto"/>
                <w:sz w:val="24"/>
                <w:szCs w:val="24"/>
                <w:highlight w:val="none"/>
              </w:rPr>
            </w:pPr>
            <w:r>
              <w:rPr>
                <w:rFonts w:hint="eastAsia" w:ascii="Times New Roman" w:hAnsi="Times New Roman"/>
                <w:b/>
                <w:bCs/>
                <w:sz w:val="32"/>
                <w:lang w:eastAsia="zh-CN"/>
              </w:rPr>
              <w:t>宿迁市沭阳生态环境局</w:t>
            </w:r>
          </w:p>
        </w:tc>
      </w:tr>
      <w:tr w14:paraId="0B33C5CD">
        <w:tblPrEx>
          <w:tblCellMar>
            <w:top w:w="0" w:type="dxa"/>
            <w:left w:w="108" w:type="dxa"/>
            <w:bottom w:w="0" w:type="dxa"/>
            <w:right w:w="108" w:type="dxa"/>
          </w:tblCellMar>
        </w:tblPrEx>
        <w:trPr>
          <w:trHeight w:val="617" w:hRule="atLeast"/>
        </w:trPr>
        <w:tc>
          <w:tcPr>
            <w:tcW w:w="2675" w:type="dxa"/>
            <w:noWrap w:val="0"/>
            <w:vAlign w:val="center"/>
          </w:tcPr>
          <w:p w14:paraId="25DF85A5">
            <w:pPr>
              <w:spacing w:line="500" w:lineRule="exact"/>
              <w:jc w:val="left"/>
              <w:rPr>
                <w:rFonts w:hint="eastAsia" w:ascii="Times New Roman" w:hAnsi="Times New Roman"/>
                <w:b/>
                <w:bCs/>
                <w:color w:val="auto"/>
                <w:spacing w:val="45"/>
                <w:sz w:val="32"/>
                <w:szCs w:val="24"/>
                <w:highlight w:val="none"/>
              </w:rPr>
            </w:pPr>
            <w:r>
              <w:rPr>
                <w:rFonts w:hint="eastAsia" w:ascii="Times New Roman" w:hAnsi="Times New Roman"/>
                <w:b/>
                <w:bCs/>
                <w:color w:val="auto"/>
                <w:sz w:val="32"/>
                <w:szCs w:val="24"/>
                <w:highlight w:val="none"/>
              </w:rPr>
              <w:t>采购代理机构：</w:t>
            </w:r>
          </w:p>
        </w:tc>
        <w:tc>
          <w:tcPr>
            <w:tcW w:w="4752" w:type="dxa"/>
            <w:noWrap w:val="0"/>
            <w:vAlign w:val="center"/>
          </w:tcPr>
          <w:p w14:paraId="61195CA6">
            <w:pPr>
              <w:spacing w:line="500" w:lineRule="exact"/>
              <w:jc w:val="left"/>
              <w:rPr>
                <w:rFonts w:hint="eastAsia" w:ascii="仿宋" w:hAnsi="仿宋" w:cs="仿宋"/>
                <w:color w:val="auto"/>
                <w:sz w:val="24"/>
                <w:szCs w:val="24"/>
                <w:highlight w:val="yellow"/>
              </w:rPr>
            </w:pPr>
            <w:r>
              <w:rPr>
                <w:rFonts w:hint="eastAsia" w:ascii="Times New Roman" w:hAnsi="Times New Roman"/>
                <w:b/>
                <w:bCs/>
                <w:sz w:val="32"/>
                <w:lang w:eastAsia="zh-CN"/>
              </w:rPr>
              <w:t>江苏中亿华建设项目管理有限公司</w:t>
            </w:r>
          </w:p>
        </w:tc>
      </w:tr>
    </w:tbl>
    <w:p w14:paraId="04EA7EE6">
      <w:pPr>
        <w:spacing w:line="360" w:lineRule="auto"/>
        <w:jc w:val="left"/>
        <w:rPr>
          <w:rFonts w:ascii="宋体" w:hAnsi="宋体" w:cs="宋体"/>
          <w:color w:val="auto"/>
          <w:sz w:val="24"/>
          <w:szCs w:val="24"/>
          <w:highlight w:val="none"/>
        </w:rPr>
      </w:pPr>
    </w:p>
    <w:p w14:paraId="7729E526">
      <w:pPr>
        <w:spacing w:before="120" w:after="120" w:line="360" w:lineRule="auto"/>
        <w:ind w:firstLine="964"/>
        <w:jc w:val="left"/>
        <w:rPr>
          <w:rFonts w:ascii="Arial" w:hAnsi="Arial"/>
          <w:b/>
          <w:color w:val="auto"/>
          <w:sz w:val="32"/>
          <w:szCs w:val="24"/>
          <w:highlight w:val="none"/>
        </w:rPr>
      </w:pPr>
      <w:r>
        <w:rPr>
          <w:rFonts w:hint="eastAsia" w:ascii="Times New Roman" w:hAnsi="Times New Roman"/>
          <w:b/>
          <w:bCs/>
          <w:color w:val="auto"/>
          <w:sz w:val="32"/>
          <w:szCs w:val="24"/>
          <w:highlight w:val="none"/>
        </w:rPr>
        <w:t xml:space="preserve"> </w:t>
      </w:r>
    </w:p>
    <w:p w14:paraId="6F1EEC2F">
      <w:pPr>
        <w:spacing w:before="120" w:after="120" w:line="360" w:lineRule="auto"/>
        <w:jc w:val="center"/>
        <w:rPr>
          <w:rFonts w:ascii="Arial" w:hAnsi="Arial"/>
          <w:b/>
          <w:color w:val="auto"/>
          <w:sz w:val="32"/>
          <w:szCs w:val="24"/>
          <w:highlight w:val="none"/>
        </w:rPr>
      </w:pPr>
      <w:r>
        <w:rPr>
          <w:rFonts w:ascii="Arial" w:hAnsi="Arial"/>
          <w:b/>
          <w:color w:val="auto"/>
          <w:sz w:val="32"/>
          <w:szCs w:val="24"/>
          <w:highlight w:val="none"/>
          <w:lang w:bidi="ar"/>
        </w:rPr>
        <w:t>202</w:t>
      </w:r>
      <w:r>
        <w:rPr>
          <w:rFonts w:hint="eastAsia" w:ascii="Arial" w:hAnsi="Arial"/>
          <w:b/>
          <w:color w:val="auto"/>
          <w:sz w:val="32"/>
          <w:szCs w:val="24"/>
          <w:highlight w:val="none"/>
          <w:lang w:bidi="ar"/>
        </w:rPr>
        <w:t>5</w:t>
      </w:r>
      <w:r>
        <w:rPr>
          <w:rFonts w:hint="eastAsia" w:ascii="Arial" w:hAnsi="Arial" w:cs="宋体"/>
          <w:b/>
          <w:color w:val="auto"/>
          <w:sz w:val="32"/>
          <w:szCs w:val="24"/>
          <w:highlight w:val="none"/>
          <w:lang w:bidi="ar"/>
        </w:rPr>
        <w:t>年 月  日</w:t>
      </w:r>
    </w:p>
    <w:p w14:paraId="2526A2A1">
      <w:pPr>
        <w:spacing w:before="120" w:after="120" w:line="360" w:lineRule="auto"/>
        <w:jc w:val="center"/>
        <w:rPr>
          <w:rFonts w:ascii="Arial" w:hAnsi="Arial"/>
          <w:b/>
          <w:color w:val="auto"/>
          <w:sz w:val="32"/>
          <w:szCs w:val="24"/>
          <w:highlight w:val="none"/>
        </w:rPr>
      </w:pPr>
    </w:p>
    <w:p w14:paraId="6CC373EA">
      <w:pPr>
        <w:keepNext/>
        <w:keepLines/>
        <w:pageBreakBefore/>
        <w:jc w:val="center"/>
        <w:rPr>
          <w:b/>
          <w:color w:val="auto"/>
          <w:sz w:val="44"/>
          <w:szCs w:val="44"/>
          <w:highlight w:val="none"/>
        </w:rPr>
      </w:pPr>
      <w:r>
        <w:rPr>
          <w:rFonts w:hint="eastAsia"/>
          <w:b/>
          <w:color w:val="auto"/>
          <w:sz w:val="44"/>
          <w:szCs w:val="44"/>
          <w:highlight w:val="none"/>
        </w:rPr>
        <w:t>目 录</w:t>
      </w:r>
    </w:p>
    <w:p w14:paraId="178000B0">
      <w:pPr>
        <w:pStyle w:val="36"/>
        <w:tabs>
          <w:tab w:val="right" w:leader="dot" w:pos="9185"/>
        </w:tabs>
        <w:spacing w:line="600" w:lineRule="exact"/>
        <w:rPr>
          <w:rFonts w:ascii="Times New Roman" w:hAnsi="Times New Roman" w:eastAsia="黑体"/>
          <w:b w:val="0"/>
          <w:bCs w:val="0"/>
          <w:color w:val="auto"/>
          <w:sz w:val="32"/>
          <w:highlight w:val="none"/>
        </w:rPr>
      </w:pPr>
      <w:r>
        <w:rPr>
          <w:color w:val="auto"/>
          <w:highlight w:val="none"/>
        </w:rPr>
        <w:fldChar w:fldCharType="begin"/>
      </w:r>
      <w:r>
        <w:rPr>
          <w:color w:val="auto"/>
          <w:highlight w:val="none"/>
        </w:rPr>
        <w:instrText xml:space="preserve">TOC \o "1-1" \h \u </w:instrText>
      </w:r>
      <w:r>
        <w:rPr>
          <w:color w:val="auto"/>
          <w:highlight w:val="none"/>
        </w:rPr>
        <w:fldChar w:fldCharType="separate"/>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_Toc10813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b w:val="0"/>
          <w:bCs w:val="0"/>
          <w:color w:val="auto"/>
          <w:sz w:val="32"/>
          <w:highlight w:val="none"/>
        </w:rPr>
        <w:t>第一章  投标邀请</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_Toc10813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3</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128BA405">
      <w:pPr>
        <w:pStyle w:val="36"/>
        <w:tabs>
          <w:tab w:val="right" w:leader="dot" w:pos="9185"/>
        </w:tabs>
        <w:spacing w:line="600" w:lineRule="exact"/>
        <w:rPr>
          <w:rFonts w:ascii="Times New Roman" w:hAnsi="Times New Roman" w:eastAsia="黑体"/>
          <w:b w:val="0"/>
          <w:bCs w:val="0"/>
          <w:color w:val="auto"/>
          <w:sz w:val="32"/>
          <w:highlight w:val="none"/>
        </w:rPr>
      </w:pP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_Toc9425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b w:val="0"/>
          <w:bCs w:val="0"/>
          <w:color w:val="auto"/>
          <w:sz w:val="32"/>
          <w:highlight w:val="none"/>
        </w:rPr>
        <w:t>第二章  投标人须知</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_Toc9425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6</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7220A6EA">
      <w:pPr>
        <w:pStyle w:val="36"/>
        <w:tabs>
          <w:tab w:val="right" w:leader="dot" w:pos="9185"/>
        </w:tabs>
        <w:spacing w:line="600" w:lineRule="exact"/>
        <w:rPr>
          <w:rFonts w:ascii="Times New Roman" w:hAnsi="Times New Roman" w:eastAsia="黑体"/>
          <w:b w:val="0"/>
          <w:bCs w:val="0"/>
          <w:color w:val="auto"/>
          <w:sz w:val="32"/>
          <w:highlight w:val="none"/>
        </w:rPr>
      </w:pP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_Toc17996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cs="Times New Roman"/>
          <w:b w:val="0"/>
          <w:bCs w:val="0"/>
          <w:color w:val="auto"/>
          <w:sz w:val="32"/>
          <w:szCs w:val="44"/>
          <w:highlight w:val="none"/>
        </w:rPr>
        <w:t>第三章  资格审查及评标办法</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_Toc17996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20</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2B4F5575">
      <w:pPr>
        <w:pStyle w:val="36"/>
        <w:tabs>
          <w:tab w:val="right" w:leader="dot" w:pos="9185"/>
        </w:tabs>
        <w:spacing w:line="600" w:lineRule="exact"/>
        <w:rPr>
          <w:rFonts w:ascii="Times New Roman" w:hAnsi="Times New Roman" w:eastAsia="黑体"/>
          <w:b w:val="0"/>
          <w:bCs w:val="0"/>
          <w:color w:val="auto"/>
          <w:sz w:val="32"/>
          <w:highlight w:val="none"/>
        </w:rPr>
      </w:pP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_Toc22314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b w:val="0"/>
          <w:bCs w:val="0"/>
          <w:color w:val="auto"/>
          <w:sz w:val="32"/>
          <w:szCs w:val="44"/>
          <w:highlight w:val="none"/>
        </w:rPr>
        <w:t>第四章</w:t>
      </w:r>
      <w:r>
        <w:rPr>
          <w:rFonts w:ascii="Times New Roman" w:hAnsi="Times New Roman" w:eastAsia="黑体"/>
          <w:b w:val="0"/>
          <w:bCs w:val="0"/>
          <w:color w:val="auto"/>
          <w:sz w:val="32"/>
          <w:szCs w:val="44"/>
          <w:highlight w:val="none"/>
        </w:rPr>
        <w:t xml:space="preserve">  </w:t>
      </w:r>
      <w:r>
        <w:rPr>
          <w:rFonts w:hint="eastAsia" w:ascii="Times New Roman" w:hAnsi="Times New Roman" w:eastAsia="黑体"/>
          <w:b w:val="0"/>
          <w:bCs w:val="0"/>
          <w:color w:val="auto"/>
          <w:sz w:val="32"/>
          <w:szCs w:val="44"/>
          <w:highlight w:val="none"/>
        </w:rPr>
        <w:t>采购需求</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_Toc22314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22</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375BB894">
      <w:pPr>
        <w:pStyle w:val="36"/>
        <w:tabs>
          <w:tab w:val="right" w:leader="dot" w:pos="9185"/>
        </w:tabs>
        <w:spacing w:line="600" w:lineRule="exact"/>
        <w:rPr>
          <w:rFonts w:ascii="Times New Roman" w:hAnsi="Times New Roman" w:eastAsia="黑体"/>
          <w:b w:val="0"/>
          <w:bCs w:val="0"/>
          <w:color w:val="auto"/>
          <w:sz w:val="32"/>
          <w:highlight w:val="none"/>
        </w:rPr>
      </w:pP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_Toc2513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b w:val="0"/>
          <w:bCs w:val="0"/>
          <w:color w:val="auto"/>
          <w:sz w:val="32"/>
          <w:szCs w:val="44"/>
          <w:highlight w:val="none"/>
        </w:rPr>
        <w:t>第五章</w:t>
      </w:r>
      <w:r>
        <w:rPr>
          <w:rFonts w:ascii="Times New Roman" w:hAnsi="Times New Roman" w:eastAsia="黑体"/>
          <w:b w:val="0"/>
          <w:bCs w:val="0"/>
          <w:color w:val="auto"/>
          <w:sz w:val="32"/>
          <w:szCs w:val="44"/>
          <w:highlight w:val="none"/>
        </w:rPr>
        <w:t xml:space="preserve">  </w:t>
      </w:r>
      <w:r>
        <w:rPr>
          <w:rFonts w:hint="eastAsia" w:ascii="Times New Roman" w:hAnsi="Times New Roman" w:eastAsia="黑体"/>
          <w:b w:val="0"/>
          <w:bCs w:val="0"/>
          <w:color w:val="auto"/>
          <w:sz w:val="32"/>
          <w:szCs w:val="44"/>
          <w:highlight w:val="none"/>
        </w:rPr>
        <w:t>合同文本</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_Toc2513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25</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67C748CA">
      <w:pPr>
        <w:pStyle w:val="36"/>
        <w:tabs>
          <w:tab w:val="right" w:leader="dot" w:pos="9185"/>
        </w:tabs>
        <w:spacing w:line="600" w:lineRule="exact"/>
        <w:rPr>
          <w:color w:val="auto"/>
          <w:highlight w:val="none"/>
        </w:rPr>
      </w:pP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HYPERLINK \l _Toc12937 </w:instrText>
      </w:r>
      <w:r>
        <w:rPr>
          <w:rFonts w:ascii="Times New Roman" w:hAnsi="Times New Roman" w:eastAsia="黑体"/>
          <w:b w:val="0"/>
          <w:bCs w:val="0"/>
          <w:color w:val="auto"/>
          <w:sz w:val="32"/>
          <w:highlight w:val="none"/>
        </w:rPr>
        <w:fldChar w:fldCharType="separate"/>
      </w:r>
      <w:r>
        <w:rPr>
          <w:rFonts w:hint="eastAsia" w:ascii="Times New Roman" w:hAnsi="Times New Roman" w:eastAsia="黑体"/>
          <w:b w:val="0"/>
          <w:bCs w:val="0"/>
          <w:color w:val="auto"/>
          <w:sz w:val="32"/>
          <w:szCs w:val="44"/>
          <w:highlight w:val="none"/>
        </w:rPr>
        <w:t>第六章  投标文件格式</w:t>
      </w:r>
      <w:r>
        <w:rPr>
          <w:rFonts w:ascii="Times New Roman" w:hAnsi="Times New Roman" w:eastAsia="黑体"/>
          <w:b w:val="0"/>
          <w:bCs w:val="0"/>
          <w:color w:val="auto"/>
          <w:sz w:val="32"/>
          <w:highlight w:val="none"/>
        </w:rPr>
        <w:tab/>
      </w:r>
      <w:r>
        <w:rPr>
          <w:rFonts w:ascii="Times New Roman" w:hAnsi="Times New Roman" w:eastAsia="黑体"/>
          <w:b w:val="0"/>
          <w:bCs w:val="0"/>
          <w:color w:val="auto"/>
          <w:sz w:val="32"/>
          <w:highlight w:val="none"/>
        </w:rPr>
        <w:fldChar w:fldCharType="begin"/>
      </w:r>
      <w:r>
        <w:rPr>
          <w:rFonts w:ascii="Times New Roman" w:hAnsi="Times New Roman" w:eastAsia="黑体"/>
          <w:b w:val="0"/>
          <w:bCs w:val="0"/>
          <w:color w:val="auto"/>
          <w:sz w:val="32"/>
          <w:highlight w:val="none"/>
        </w:rPr>
        <w:instrText xml:space="preserve"> PAGEREF _Toc12937 \h </w:instrText>
      </w:r>
      <w:r>
        <w:rPr>
          <w:rFonts w:ascii="Times New Roman" w:hAnsi="Times New Roman" w:eastAsia="黑体"/>
          <w:b w:val="0"/>
          <w:bCs w:val="0"/>
          <w:color w:val="auto"/>
          <w:sz w:val="32"/>
          <w:highlight w:val="none"/>
        </w:rPr>
        <w:fldChar w:fldCharType="separate"/>
      </w:r>
      <w:r>
        <w:rPr>
          <w:rFonts w:ascii="Times New Roman" w:hAnsi="Times New Roman" w:eastAsia="黑体"/>
          <w:b w:val="0"/>
          <w:bCs w:val="0"/>
          <w:color w:val="auto"/>
          <w:sz w:val="32"/>
          <w:highlight w:val="none"/>
        </w:rPr>
        <w:t>42</w:t>
      </w:r>
      <w:r>
        <w:rPr>
          <w:rFonts w:ascii="Times New Roman" w:hAnsi="Times New Roman" w:eastAsia="黑体"/>
          <w:b w:val="0"/>
          <w:bCs w:val="0"/>
          <w:color w:val="auto"/>
          <w:sz w:val="32"/>
          <w:highlight w:val="none"/>
        </w:rPr>
        <w:fldChar w:fldCharType="end"/>
      </w:r>
      <w:r>
        <w:rPr>
          <w:rFonts w:ascii="Times New Roman" w:hAnsi="Times New Roman" w:eastAsia="黑体"/>
          <w:b w:val="0"/>
          <w:bCs w:val="0"/>
          <w:color w:val="auto"/>
          <w:sz w:val="32"/>
          <w:highlight w:val="none"/>
        </w:rPr>
        <w:fldChar w:fldCharType="end"/>
      </w:r>
    </w:p>
    <w:p w14:paraId="3D6926B0">
      <w:pPr>
        <w:rPr>
          <w:color w:val="auto"/>
          <w:highlight w:val="none"/>
        </w:rPr>
      </w:pPr>
      <w:r>
        <w:rPr>
          <w:color w:val="auto"/>
          <w:highlight w:val="none"/>
        </w:rPr>
        <w:fldChar w:fldCharType="end"/>
      </w:r>
    </w:p>
    <w:p w14:paraId="14594C6D">
      <w:pPr>
        <w:keepNext/>
        <w:keepLines/>
        <w:pageBreakBefore/>
        <w:jc w:val="center"/>
        <w:outlineLvl w:val="0"/>
        <w:rPr>
          <w:b/>
          <w:color w:val="auto"/>
          <w:sz w:val="44"/>
          <w:szCs w:val="44"/>
          <w:highlight w:val="none"/>
        </w:rPr>
        <w:sectPr>
          <w:footerReference r:id="rId5" w:type="first"/>
          <w:headerReference r:id="rId3" w:type="default"/>
          <w:footerReference r:id="rId4" w:type="default"/>
          <w:pgSz w:w="11907" w:h="16840"/>
          <w:pgMar w:top="1474" w:right="1304" w:bottom="1474" w:left="1418" w:header="851" w:footer="851" w:gutter="0"/>
          <w:cols w:space="720" w:num="1"/>
          <w:docGrid w:linePitch="360" w:charSpace="0"/>
        </w:sectPr>
      </w:pPr>
      <w:bookmarkStart w:id="2" w:name="_Toc81575189"/>
      <w:bookmarkStart w:id="3" w:name="_Toc81575152"/>
    </w:p>
    <w:p w14:paraId="09B21B1B">
      <w:pPr>
        <w:pStyle w:val="2"/>
        <w:spacing w:before="200"/>
        <w:jc w:val="center"/>
        <w:rPr>
          <w:rFonts w:hint="eastAsia" w:eastAsia="黑体"/>
          <w:color w:val="auto"/>
          <w:sz w:val="44"/>
          <w:highlight w:val="none"/>
        </w:rPr>
      </w:pPr>
      <w:bookmarkStart w:id="4" w:name="_Toc25722"/>
      <w:bookmarkStart w:id="5" w:name="_Toc30943"/>
      <w:bookmarkStart w:id="6" w:name="_Toc10813"/>
      <w:r>
        <w:rPr>
          <w:rFonts w:hint="eastAsia" w:eastAsia="黑体"/>
          <w:color w:val="auto"/>
          <w:sz w:val="44"/>
          <w:highlight w:val="none"/>
        </w:rPr>
        <w:t>第一章  投标邀请</w:t>
      </w:r>
      <w:bookmarkEnd w:id="2"/>
      <w:bookmarkEnd w:id="3"/>
      <w:bookmarkEnd w:id="4"/>
      <w:bookmarkEnd w:id="5"/>
      <w:bookmarkEnd w:id="6"/>
    </w:p>
    <w:p w14:paraId="088FDA06">
      <w:pPr>
        <w:spacing w:line="480" w:lineRule="exact"/>
        <w:ind w:firstLine="480" w:firstLineChars="200"/>
        <w:rPr>
          <w:rFonts w:ascii="Times New Roman" w:hAnsi="Times New Roman" w:cs="方正仿宋_GBK"/>
          <w:color w:val="auto"/>
          <w:sz w:val="24"/>
          <w:szCs w:val="24"/>
          <w:highlight w:val="none"/>
        </w:rPr>
      </w:pPr>
      <w:r>
        <w:rPr>
          <w:rFonts w:hint="eastAsia" w:ascii="宋体" w:hAnsi="宋体"/>
          <w:color w:val="auto"/>
          <w:sz w:val="24"/>
          <w:szCs w:val="24"/>
          <w:highlight w:val="none"/>
        </w:rPr>
        <w:t>受</w:t>
      </w:r>
      <w:r>
        <w:rPr>
          <w:rFonts w:hint="eastAsia" w:ascii="仿宋" w:hAnsi="仿宋" w:eastAsia="仿宋" w:cs="仿宋"/>
          <w:color w:val="000000"/>
          <w:sz w:val="28"/>
          <w:u w:val="single"/>
          <w:lang w:eastAsia="zh-CN"/>
        </w:rPr>
        <w:t>宿迁市沭阳生态环境局</w:t>
      </w:r>
      <w:r>
        <w:rPr>
          <w:rFonts w:hint="eastAsia" w:ascii="宋体" w:hAnsi="宋体"/>
          <w:color w:val="auto"/>
          <w:sz w:val="24"/>
          <w:szCs w:val="24"/>
          <w:highlight w:val="none"/>
        </w:rPr>
        <w:t>的委托，</w:t>
      </w:r>
      <w:r>
        <w:rPr>
          <w:rFonts w:hint="eastAsia" w:ascii="仿宋" w:hAnsi="仿宋" w:eastAsia="仿宋" w:cs="仿宋"/>
          <w:color w:val="000000"/>
          <w:sz w:val="28"/>
          <w:u w:val="single"/>
          <w:lang w:eastAsia="zh-CN"/>
        </w:rPr>
        <w:t>江苏中亿华建设项目管理有限公司</w:t>
      </w:r>
      <w:r>
        <w:rPr>
          <w:rFonts w:hint="eastAsia" w:ascii="Times New Roman" w:hAnsi="Times New Roman" w:cs="方正仿宋_GBK"/>
          <w:color w:val="auto"/>
          <w:sz w:val="24"/>
          <w:szCs w:val="24"/>
          <w:highlight w:val="none"/>
        </w:rPr>
        <w:t>就</w:t>
      </w:r>
      <w:r>
        <w:rPr>
          <w:rFonts w:hint="eastAsia" w:ascii="仿宋" w:hAnsi="仿宋" w:eastAsia="仿宋" w:cs="仿宋"/>
          <w:color w:val="000000"/>
          <w:sz w:val="28"/>
          <w:u w:val="single"/>
          <w:lang w:eastAsia="zh-CN"/>
        </w:rPr>
        <w:t>沭阳县农业面源污染水质自动站建设项目</w:t>
      </w:r>
      <w:r>
        <w:rPr>
          <w:rFonts w:hint="eastAsia" w:ascii="宋体" w:hAnsi="宋体"/>
          <w:color w:val="auto"/>
          <w:sz w:val="24"/>
          <w:szCs w:val="24"/>
          <w:highlight w:val="none"/>
        </w:rPr>
        <w:t>(</w:t>
      </w:r>
      <w:r>
        <w:rPr>
          <w:rFonts w:hint="eastAsia" w:ascii="宋体" w:hAnsi="宋体"/>
          <w:color w:val="auto"/>
          <w:sz w:val="24"/>
          <w:szCs w:val="24"/>
          <w:highlight w:val="yellow"/>
          <w:u w:val="single"/>
          <w:lang w:val="en-US" w:eastAsia="zh-CN"/>
        </w:rPr>
        <w:t xml:space="preserve">      </w:t>
      </w:r>
      <w:r>
        <w:rPr>
          <w:rFonts w:hint="eastAsia" w:ascii="宋体" w:hAnsi="宋体"/>
          <w:color w:val="auto"/>
          <w:sz w:val="24"/>
          <w:szCs w:val="24"/>
          <w:highlight w:val="none"/>
        </w:rPr>
        <w:t>)</w:t>
      </w:r>
      <w:r>
        <w:rPr>
          <w:rFonts w:hint="eastAsia" w:ascii="Times New Roman" w:hAnsi="Times New Roman" w:cs="方正仿宋_GBK"/>
          <w:color w:val="auto"/>
          <w:sz w:val="24"/>
          <w:szCs w:val="24"/>
          <w:highlight w:val="none"/>
        </w:rPr>
        <w:t>进行公开招标采购，欢迎符合条件的投标人投标。</w:t>
      </w:r>
    </w:p>
    <w:p w14:paraId="28531A69">
      <w:pPr>
        <w:pBdr>
          <w:top w:val="single" w:color="auto" w:sz="4" w:space="1"/>
          <w:left w:val="single" w:color="auto" w:sz="4" w:space="4"/>
          <w:bottom w:val="single" w:color="auto" w:sz="4" w:space="1"/>
          <w:right w:val="single" w:color="auto" w:sz="4" w:space="4"/>
        </w:pBdr>
        <w:spacing w:line="480" w:lineRule="exact"/>
        <w:ind w:firstLine="480" w:firstLineChars="200"/>
        <w:rPr>
          <w:rFonts w:ascii="Times New Roman" w:hAnsi="Times New Roman" w:cs="方正仿宋_GBK"/>
          <w:color w:val="auto"/>
          <w:sz w:val="24"/>
          <w:szCs w:val="24"/>
          <w:highlight w:val="none"/>
        </w:rPr>
      </w:pPr>
      <w:r>
        <w:rPr>
          <w:rFonts w:hint="eastAsia" w:ascii="Times New Roman" w:hAnsi="Times New Roman" w:cs="方正仿宋_GBK"/>
          <w:color w:val="auto"/>
          <w:sz w:val="24"/>
          <w:szCs w:val="24"/>
          <w:highlight w:val="none"/>
        </w:rPr>
        <w:t>项目概况</w:t>
      </w:r>
    </w:p>
    <w:p w14:paraId="31C6E354">
      <w:pPr>
        <w:pBdr>
          <w:top w:val="single" w:color="auto" w:sz="4" w:space="1"/>
          <w:left w:val="single" w:color="auto" w:sz="4" w:space="4"/>
          <w:bottom w:val="single" w:color="auto" w:sz="4" w:space="1"/>
          <w:right w:val="single" w:color="auto" w:sz="4" w:space="4"/>
        </w:pBdr>
        <w:spacing w:line="480" w:lineRule="exact"/>
        <w:ind w:firstLine="480" w:firstLineChars="200"/>
        <w:rPr>
          <w:rFonts w:ascii="方正仿宋_GBK" w:hAnsi="方正仿宋_GBK" w:eastAsia="方正仿宋_GBK" w:cs="方正仿宋_GBK"/>
          <w:color w:val="auto"/>
          <w:sz w:val="24"/>
          <w:szCs w:val="24"/>
          <w:highlight w:val="none"/>
        </w:rPr>
      </w:pPr>
      <w:r>
        <w:rPr>
          <w:rFonts w:hint="eastAsia" w:ascii="Times New Roman" w:hAnsi="Times New Roman" w:eastAsia="宋体" w:cs="方正仿宋_GBK"/>
          <w:color w:val="auto"/>
          <w:sz w:val="24"/>
          <w:szCs w:val="24"/>
          <w:highlight w:val="none"/>
          <w:u w:val="single"/>
          <w:lang w:eastAsia="zh-CN"/>
        </w:rPr>
        <w:t>沭阳县农业面源污染水质自动站建设项目</w:t>
      </w:r>
      <w:r>
        <w:rPr>
          <w:rFonts w:hint="eastAsia" w:ascii="Times New Roman" w:hAnsi="Times New Roman" w:cs="方正仿宋_GBK"/>
          <w:color w:val="auto"/>
          <w:sz w:val="24"/>
          <w:szCs w:val="24"/>
          <w:highlight w:val="none"/>
        </w:rPr>
        <w:t>招标项目的潜在投标人可在“江苏政府采购网</w:t>
      </w:r>
      <w:r>
        <w:rPr>
          <w:rFonts w:hint="eastAsia" w:ascii="Times New Roman" w:hAnsi="Times New Roman" w:cs="方正仿宋_GBK"/>
          <w:color w:val="auto"/>
          <w:sz w:val="24"/>
          <w:szCs w:val="24"/>
          <w:highlight w:val="none"/>
          <w:lang w:eastAsia="zh-CN"/>
        </w:rPr>
        <w:t>”“</w:t>
      </w:r>
      <w:r>
        <w:rPr>
          <w:rFonts w:hint="eastAsia" w:ascii="Times New Roman" w:hAnsi="Times New Roman" w:cs="方正仿宋_GBK"/>
          <w:color w:val="auto"/>
          <w:sz w:val="24"/>
          <w:szCs w:val="24"/>
          <w:highlight w:val="none"/>
          <w:u w:val="single"/>
        </w:rPr>
        <w:t>宿迁市政府采购网”自行免费</w:t>
      </w:r>
      <w:r>
        <w:rPr>
          <w:rFonts w:hint="eastAsia" w:ascii="Times New Roman" w:hAnsi="Times New Roman" w:cs="方正仿宋_GBK"/>
          <w:color w:val="auto"/>
          <w:sz w:val="24"/>
          <w:szCs w:val="24"/>
          <w:highlight w:val="none"/>
        </w:rPr>
        <w:t>获取招标文件，并于</w:t>
      </w:r>
      <w:r>
        <w:rPr>
          <w:rFonts w:hint="eastAsia" w:ascii="宋体" w:hAnsi="宋体"/>
          <w:color w:val="auto"/>
          <w:sz w:val="24"/>
          <w:szCs w:val="24"/>
          <w:highlight w:val="none"/>
          <w:u w:val="single"/>
        </w:rPr>
        <w:t>2025</w:t>
      </w:r>
      <w:r>
        <w:rPr>
          <w:rFonts w:hint="eastAsia" w:ascii="宋体" w:hAnsi="宋体"/>
          <w:bCs/>
          <w:color w:val="auto"/>
          <w:sz w:val="24"/>
          <w:szCs w:val="24"/>
          <w:highlight w:val="none"/>
          <w:u w:val="single"/>
        </w:rPr>
        <w:t>年</w:t>
      </w:r>
      <w:r>
        <w:rPr>
          <w:rFonts w:hint="eastAsia" w:ascii="宋体" w:hAnsi="宋体"/>
          <w:bCs/>
          <w:color w:val="auto"/>
          <w:sz w:val="24"/>
          <w:szCs w:val="24"/>
          <w:highlight w:val="yellow"/>
          <w:u w:val="single"/>
          <w:lang w:val="en-US" w:eastAsia="zh-CN"/>
        </w:rPr>
        <w:t xml:space="preserve">  </w:t>
      </w:r>
      <w:r>
        <w:rPr>
          <w:rFonts w:hint="eastAsia" w:ascii="宋体" w:hAnsi="宋体"/>
          <w:bCs/>
          <w:color w:val="auto"/>
          <w:sz w:val="24"/>
          <w:szCs w:val="24"/>
          <w:highlight w:val="none"/>
          <w:u w:val="single"/>
        </w:rPr>
        <w:t>月</w:t>
      </w:r>
      <w:r>
        <w:rPr>
          <w:rFonts w:hint="eastAsia" w:ascii="宋体" w:hAnsi="宋体"/>
          <w:bCs/>
          <w:color w:val="auto"/>
          <w:sz w:val="24"/>
          <w:szCs w:val="24"/>
          <w:highlight w:val="yellow"/>
          <w:u w:val="single"/>
        </w:rPr>
        <w:t xml:space="preserve">  </w:t>
      </w:r>
      <w:r>
        <w:rPr>
          <w:rFonts w:hint="eastAsia" w:ascii="宋体" w:hAnsi="宋体"/>
          <w:bCs/>
          <w:color w:val="auto"/>
          <w:sz w:val="24"/>
          <w:szCs w:val="24"/>
          <w:highlight w:val="none"/>
          <w:u w:val="single"/>
        </w:rPr>
        <w:t>日09点30分（</w:t>
      </w:r>
      <w:r>
        <w:rPr>
          <w:rFonts w:hint="eastAsia" w:ascii="宋体" w:hAnsi="宋体"/>
          <w:bCs/>
          <w:color w:val="auto"/>
          <w:sz w:val="24"/>
          <w:szCs w:val="24"/>
          <w:highlight w:val="none"/>
        </w:rPr>
        <w:t>北京时间）</w:t>
      </w:r>
      <w:r>
        <w:rPr>
          <w:rFonts w:hint="eastAsia" w:ascii="Times New Roman" w:hAnsi="Times New Roman" w:cs="方正仿宋_GBK"/>
          <w:bCs/>
          <w:color w:val="auto"/>
          <w:sz w:val="24"/>
          <w:szCs w:val="24"/>
          <w:highlight w:val="none"/>
        </w:rPr>
        <w:t>前递交投标文件</w:t>
      </w:r>
      <w:r>
        <w:rPr>
          <w:rFonts w:hint="eastAsia" w:ascii="Times New Roman" w:hAnsi="Times New Roman" w:cs="方正仿宋_GBK"/>
          <w:color w:val="auto"/>
          <w:sz w:val="24"/>
          <w:szCs w:val="24"/>
          <w:highlight w:val="none"/>
        </w:rPr>
        <w:t>。</w:t>
      </w:r>
    </w:p>
    <w:p w14:paraId="0BEA0D9F">
      <w:pPr>
        <w:pStyle w:val="3"/>
        <w:spacing w:before="0" w:after="0" w:line="480" w:lineRule="exact"/>
        <w:ind w:firstLine="643" w:firstLineChars="200"/>
        <w:rPr>
          <w:rFonts w:hint="eastAsia" w:eastAsia="宋体" w:cs="Arial"/>
          <w:bCs/>
          <w:color w:val="auto"/>
          <w:szCs w:val="22"/>
          <w:highlight w:val="none"/>
        </w:rPr>
      </w:pPr>
      <w:bookmarkStart w:id="7" w:name="_Toc35393790"/>
      <w:bookmarkStart w:id="8" w:name="_Toc28359079"/>
      <w:bookmarkStart w:id="9" w:name="_Toc2584"/>
      <w:bookmarkStart w:id="10" w:name="_Toc28359002"/>
      <w:bookmarkStart w:id="11" w:name="_Toc38985263"/>
      <w:bookmarkStart w:id="12" w:name="_Toc35393621"/>
      <w:bookmarkStart w:id="13" w:name="_Hlk24379207"/>
      <w:r>
        <w:rPr>
          <w:rFonts w:hint="eastAsia" w:eastAsia="宋体" w:cs="Arial"/>
          <w:bCs/>
          <w:color w:val="auto"/>
          <w:szCs w:val="22"/>
          <w:highlight w:val="none"/>
        </w:rPr>
        <w:t>一、项目基本情况</w:t>
      </w:r>
      <w:bookmarkEnd w:id="7"/>
      <w:bookmarkEnd w:id="8"/>
      <w:bookmarkEnd w:id="9"/>
      <w:bookmarkEnd w:id="10"/>
      <w:bookmarkEnd w:id="11"/>
      <w:bookmarkEnd w:id="12"/>
    </w:p>
    <w:p w14:paraId="6B6C8972">
      <w:pPr>
        <w:spacing w:line="480" w:lineRule="exact"/>
        <w:ind w:firstLine="480" w:firstLineChars="200"/>
        <w:rPr>
          <w:rFonts w:hint="eastAsia" w:ascii="Times New Roman" w:hAnsi="Times New Roman" w:eastAsia="宋体" w:cs="仿宋"/>
          <w:color w:val="auto"/>
          <w:sz w:val="24"/>
          <w:szCs w:val="24"/>
          <w:highlight w:val="none"/>
          <w:lang w:eastAsia="zh-CN"/>
        </w:rPr>
      </w:pPr>
      <w:r>
        <w:rPr>
          <w:rFonts w:hint="eastAsia" w:ascii="Times New Roman" w:hAnsi="Times New Roman" w:cs="仿宋"/>
          <w:color w:val="auto"/>
          <w:sz w:val="24"/>
          <w:szCs w:val="24"/>
          <w:highlight w:val="none"/>
        </w:rPr>
        <w:t>1.项目编号：</w:t>
      </w:r>
      <w:r>
        <w:rPr>
          <w:rFonts w:hint="eastAsia" w:ascii="Times New Roman" w:hAnsi="Times New Roman" w:cs="仿宋"/>
          <w:color w:val="auto"/>
          <w:sz w:val="24"/>
          <w:szCs w:val="24"/>
          <w:highlight w:val="yellow"/>
          <w:lang w:val="en-US" w:eastAsia="zh-CN"/>
        </w:rPr>
        <w:t xml:space="preserve"> </w:t>
      </w:r>
    </w:p>
    <w:p w14:paraId="1A506E16">
      <w:pPr>
        <w:spacing w:line="48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cs="仿宋"/>
          <w:color w:val="auto"/>
          <w:sz w:val="24"/>
          <w:szCs w:val="24"/>
          <w:highlight w:val="none"/>
        </w:rPr>
        <w:t>2.项目名</w:t>
      </w:r>
      <w:r>
        <w:rPr>
          <w:rFonts w:hint="eastAsia" w:ascii="Times New Roman" w:hAnsi="Times New Roman" w:eastAsia="宋体" w:cs="仿宋"/>
          <w:color w:val="auto"/>
          <w:sz w:val="24"/>
          <w:szCs w:val="24"/>
          <w:highlight w:val="none"/>
        </w:rPr>
        <w:t>称：</w:t>
      </w:r>
      <w:bookmarkEnd w:id="13"/>
      <w:r>
        <w:rPr>
          <w:rFonts w:hint="eastAsia" w:ascii="Times New Roman" w:hAnsi="Times New Roman" w:eastAsia="宋体" w:cs="仿宋"/>
          <w:color w:val="auto"/>
          <w:sz w:val="24"/>
          <w:szCs w:val="24"/>
          <w:highlight w:val="none"/>
          <w:lang w:eastAsia="zh-CN"/>
        </w:rPr>
        <w:t>沭阳县农业面源污染水质自动站建设项目</w:t>
      </w:r>
    </w:p>
    <w:p w14:paraId="3792ED08">
      <w:pPr>
        <w:spacing w:line="48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3.预算金额：</w:t>
      </w:r>
      <w:r>
        <w:rPr>
          <w:rFonts w:hint="eastAsia" w:ascii="Times New Roman" w:hAnsi="Times New Roman" w:eastAsia="宋体" w:cs="仿宋"/>
          <w:color w:val="auto"/>
          <w:sz w:val="24"/>
          <w:szCs w:val="24"/>
          <w:highlight w:val="none"/>
          <w:lang w:val="en-US" w:eastAsia="zh-CN"/>
        </w:rPr>
        <w:t>197.8</w:t>
      </w:r>
      <w:r>
        <w:rPr>
          <w:rFonts w:hint="eastAsia" w:ascii="Times New Roman" w:hAnsi="Times New Roman" w:eastAsia="宋体" w:cs="仿宋"/>
          <w:color w:val="auto"/>
          <w:sz w:val="24"/>
          <w:szCs w:val="24"/>
          <w:highlight w:val="none"/>
        </w:rPr>
        <w:t>万元 </w:t>
      </w:r>
    </w:p>
    <w:p w14:paraId="7CE3ED40">
      <w:pPr>
        <w:spacing w:line="480" w:lineRule="exact"/>
        <w:ind w:firstLine="480" w:firstLineChars="200"/>
        <w:rPr>
          <w:rFonts w:hint="eastAsia" w:ascii="Times New Roman" w:hAnsi="Times New Roman" w:eastAsia="宋体" w:cs="仿宋"/>
          <w:color w:val="auto"/>
          <w:sz w:val="24"/>
          <w:szCs w:val="24"/>
          <w:highlight w:val="none"/>
        </w:rPr>
      </w:pPr>
      <w:r>
        <w:rPr>
          <w:rFonts w:hint="eastAsia" w:ascii="Times New Roman" w:hAnsi="Times New Roman" w:eastAsia="宋体" w:cs="仿宋"/>
          <w:color w:val="auto"/>
          <w:sz w:val="24"/>
          <w:szCs w:val="24"/>
          <w:highlight w:val="none"/>
        </w:rPr>
        <w:t>4.本项目设定最高限价，最高限价为：</w:t>
      </w:r>
      <w:bookmarkStart w:id="14" w:name="EB6c1f3d39c6914ae1bada8ccaa777b37a"/>
      <w:r>
        <w:rPr>
          <w:rFonts w:hint="eastAsia" w:ascii="Times New Roman" w:hAnsi="Times New Roman" w:eastAsia="宋体" w:cs="仿宋"/>
          <w:color w:val="auto"/>
          <w:sz w:val="24"/>
          <w:szCs w:val="24"/>
          <w:highlight w:val="none"/>
          <w:lang w:val="en-US" w:eastAsia="zh-CN"/>
        </w:rPr>
        <w:t>197.8万</w:t>
      </w:r>
      <w:r>
        <w:rPr>
          <w:rFonts w:hint="eastAsia" w:ascii="Times New Roman" w:hAnsi="Times New Roman" w:eastAsia="宋体" w:cs="仿宋"/>
          <w:color w:val="auto"/>
          <w:sz w:val="24"/>
          <w:szCs w:val="24"/>
          <w:highlight w:val="none"/>
        </w:rPr>
        <w:t>元</w:t>
      </w:r>
    </w:p>
    <w:bookmarkEnd w:id="14"/>
    <w:p w14:paraId="087F322B">
      <w:pPr>
        <w:spacing w:line="48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cs="仿宋"/>
          <w:color w:val="auto"/>
          <w:sz w:val="24"/>
          <w:szCs w:val="24"/>
          <w:highlight w:val="none"/>
        </w:rPr>
        <w:t>5.采购</w:t>
      </w:r>
      <w:r>
        <w:rPr>
          <w:rFonts w:hint="eastAsia" w:ascii="Times New Roman" w:hAnsi="Times New Roman" w:eastAsia="宋体" w:cs="仿宋"/>
          <w:color w:val="auto"/>
          <w:sz w:val="24"/>
          <w:szCs w:val="24"/>
          <w:highlight w:val="none"/>
        </w:rPr>
        <w:t>需求（简介）：沭阳县农业面源污染水质自动监测能力项目在宿迁市沭阳县沂北监测区新建7个地表水点位水质自动监测能力，包含6个地表水点位（新深陡沟检测区进水点、官沟河进水点、老深陡</w:t>
      </w:r>
      <w:r>
        <w:rPr>
          <w:rFonts w:hint="eastAsia" w:ascii="Times New Roman" w:hAnsi="Times New Roman" w:cs="仿宋"/>
          <w:color w:val="auto"/>
          <w:sz w:val="24"/>
          <w:szCs w:val="24"/>
          <w:highlight w:val="none"/>
          <w:lang w:eastAsia="zh-CN"/>
        </w:rPr>
        <w:t>沟</w:t>
      </w:r>
      <w:r>
        <w:rPr>
          <w:rFonts w:hint="eastAsia" w:ascii="Times New Roman" w:hAnsi="Times New Roman" w:eastAsia="宋体" w:cs="仿宋"/>
          <w:color w:val="auto"/>
          <w:sz w:val="24"/>
          <w:szCs w:val="24"/>
          <w:highlight w:val="none"/>
        </w:rPr>
        <w:t>检测区点、左洪河支渠进水点、左洪河出水点、官沟河出水点）自动采样器，1个地表水点位水质自动监测站建设，以加快构建我省农业面源污染监测评估体系，高质量开展农业面源污染监测评估工作。</w:t>
      </w:r>
      <w:r>
        <w:rPr>
          <w:rFonts w:hint="eastAsia" w:ascii="Times New Roman" w:hAnsi="Times New Roman" w:eastAsia="宋体" w:cs="仿宋"/>
          <w:color w:val="auto"/>
          <w:sz w:val="24"/>
          <w:szCs w:val="24"/>
          <w:highlight w:val="none"/>
          <w:lang w:val="en-US" w:eastAsia="zh-CN"/>
        </w:rPr>
        <w:t>具体详见采购需求。</w:t>
      </w:r>
    </w:p>
    <w:p w14:paraId="63758FAA">
      <w:pPr>
        <w:spacing w:line="480" w:lineRule="exact"/>
        <w:ind w:firstLine="480" w:firstLineChars="200"/>
        <w:rPr>
          <w:rFonts w:hint="default" w:ascii="Times New Roman" w:hAnsi="Times New Roman" w:eastAsia="宋体" w:cs="仿宋"/>
          <w:color w:val="auto"/>
          <w:sz w:val="24"/>
          <w:szCs w:val="24"/>
          <w:highlight w:val="none"/>
          <w:lang w:val="en-US" w:eastAsia="zh-CN"/>
        </w:rPr>
      </w:pPr>
      <w:r>
        <w:rPr>
          <w:rFonts w:hint="eastAsia" w:ascii="Times New Roman" w:hAnsi="Times New Roman" w:cs="仿宋"/>
          <w:color w:val="auto"/>
          <w:sz w:val="24"/>
          <w:szCs w:val="24"/>
          <w:highlight w:val="none"/>
        </w:rPr>
        <w:t>6.合同履行期限：</w:t>
      </w:r>
      <w:r>
        <w:rPr>
          <w:rFonts w:hint="eastAsia" w:ascii="Times New Roman" w:hAnsi="Times New Roman" w:cs="仿宋"/>
          <w:color w:val="auto"/>
          <w:sz w:val="24"/>
          <w:szCs w:val="24"/>
          <w:highlight w:val="none"/>
          <w:lang w:val="en-US" w:eastAsia="zh-CN"/>
        </w:rPr>
        <w:t>90日历天</w:t>
      </w:r>
    </w:p>
    <w:p w14:paraId="30F9F8C2">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7.本项目</w:t>
      </w:r>
      <w:r>
        <w:rPr>
          <w:rFonts w:hint="eastAsia" w:ascii="Times New Roman" w:hAnsi="Times New Roman" w:cs="仿宋"/>
          <w:color w:val="auto"/>
          <w:sz w:val="24"/>
          <w:szCs w:val="24"/>
          <w:highlight w:val="none"/>
          <w:u w:val="single"/>
        </w:rPr>
        <w:t xml:space="preserve"> 不接受 </w:t>
      </w:r>
      <w:r>
        <w:rPr>
          <w:rFonts w:hint="eastAsia" w:ascii="Times New Roman" w:hAnsi="Times New Roman" w:cs="仿宋"/>
          <w:color w:val="auto"/>
          <w:sz w:val="24"/>
          <w:szCs w:val="24"/>
          <w:highlight w:val="none"/>
        </w:rPr>
        <w:t>联合体投标。</w:t>
      </w:r>
    </w:p>
    <w:p w14:paraId="5876AFA8">
      <w:pPr>
        <w:pStyle w:val="3"/>
        <w:spacing w:before="0" w:after="0" w:line="480" w:lineRule="exact"/>
        <w:ind w:firstLine="643" w:firstLineChars="200"/>
        <w:rPr>
          <w:rFonts w:hint="eastAsia" w:eastAsia="宋体" w:cs="Arial"/>
          <w:bCs/>
          <w:color w:val="auto"/>
          <w:szCs w:val="22"/>
          <w:highlight w:val="none"/>
        </w:rPr>
      </w:pPr>
      <w:bookmarkStart w:id="15" w:name="_Toc35393791"/>
      <w:bookmarkStart w:id="16" w:name="_Toc38985264"/>
      <w:bookmarkStart w:id="17" w:name="_Toc35393622"/>
      <w:bookmarkStart w:id="18" w:name="_Toc28359080"/>
      <w:bookmarkStart w:id="19" w:name="_Toc27291"/>
      <w:bookmarkStart w:id="20" w:name="_Toc28359003"/>
      <w:r>
        <w:rPr>
          <w:rFonts w:hint="eastAsia" w:eastAsia="宋体" w:cs="Arial"/>
          <w:bCs/>
          <w:color w:val="auto"/>
          <w:szCs w:val="22"/>
          <w:highlight w:val="none"/>
        </w:rPr>
        <w:t>二、申请人的资格要求</w:t>
      </w:r>
      <w:bookmarkEnd w:id="15"/>
      <w:bookmarkEnd w:id="16"/>
      <w:bookmarkEnd w:id="17"/>
      <w:bookmarkEnd w:id="18"/>
      <w:bookmarkEnd w:id="19"/>
      <w:bookmarkEnd w:id="20"/>
    </w:p>
    <w:p w14:paraId="7CB05B39">
      <w:pPr>
        <w:spacing w:line="480" w:lineRule="exact"/>
        <w:ind w:firstLine="480" w:firstLineChars="200"/>
        <w:rPr>
          <w:rFonts w:hint="eastAsia" w:ascii="Times New Roman" w:hAnsi="Times New Roman" w:cs="仿宋"/>
          <w:color w:val="auto"/>
          <w:sz w:val="24"/>
          <w:szCs w:val="24"/>
          <w:highlight w:val="none"/>
        </w:rPr>
      </w:pPr>
      <w:bookmarkStart w:id="21" w:name="_Toc35393792"/>
      <w:bookmarkStart w:id="22" w:name="_Toc35393623"/>
      <w:bookmarkStart w:id="23" w:name="_Toc28359004"/>
      <w:bookmarkStart w:id="24" w:name="_Toc28359081"/>
      <w:bookmarkStart w:id="25" w:name="_Toc38985265"/>
      <w:r>
        <w:rPr>
          <w:rFonts w:hint="eastAsia" w:ascii="Times New Roman" w:hAnsi="Times New Roman" w:cs="仿宋"/>
          <w:color w:val="auto"/>
          <w:sz w:val="24"/>
          <w:szCs w:val="24"/>
          <w:highlight w:val="none"/>
        </w:rPr>
        <w:t>（一）通用资格要求</w:t>
      </w:r>
    </w:p>
    <w:p w14:paraId="5F32E031">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1.具备《中华人民共和国政府采购法》第二十二条第一款规定的6项条件（按要求提供投标函）。</w:t>
      </w:r>
    </w:p>
    <w:p w14:paraId="4477C8A3">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在“信用中国”网站（www.creditchina.gov.cn）查询，不存在被列入失信被执行人、重大税收违法案件当事人名单、政府采购严重失信行为记录名单及其他不符合《中华人民共和国政府采购法》第二十二条规定条件的信用记录情形（无需提供证明材料）。</w:t>
      </w:r>
    </w:p>
    <w:p w14:paraId="14CB9483">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3.落实政府采购政策需满足的资格要求：本项目专门面向中小企业采购（提供中小企业声明函或残疾人福利性单位声明函或监狱企业证明文件）。</w:t>
      </w:r>
    </w:p>
    <w:p w14:paraId="6DEFBBC1">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（二）本项目的特定资格要求：</w:t>
      </w:r>
      <w:r>
        <w:rPr>
          <w:rFonts w:hint="eastAsia" w:ascii="Times New Roman" w:hAnsi="Times New Roman" w:cs="仿宋"/>
          <w:color w:val="auto"/>
          <w:sz w:val="24"/>
          <w:szCs w:val="24"/>
          <w:highlight w:val="yellow"/>
        </w:rPr>
        <w:t>无</w:t>
      </w:r>
      <w:r>
        <w:rPr>
          <w:rFonts w:hint="eastAsia" w:ascii="Times New Roman" w:hAnsi="Times New Roman" w:cs="仿宋"/>
          <w:color w:val="auto"/>
          <w:sz w:val="24"/>
          <w:szCs w:val="24"/>
          <w:highlight w:val="none"/>
        </w:rPr>
        <w:t>。</w:t>
      </w:r>
    </w:p>
    <w:p w14:paraId="4A64BEB9">
      <w:pPr>
        <w:pStyle w:val="3"/>
        <w:spacing w:before="0" w:after="0" w:line="480" w:lineRule="exact"/>
        <w:ind w:firstLine="643" w:firstLineChars="200"/>
        <w:rPr>
          <w:rFonts w:hint="eastAsia" w:eastAsia="宋体" w:cs="Arial"/>
          <w:bCs/>
          <w:color w:val="auto"/>
          <w:szCs w:val="22"/>
          <w:highlight w:val="none"/>
        </w:rPr>
      </w:pPr>
      <w:bookmarkStart w:id="26" w:name="_Toc22204"/>
      <w:r>
        <w:rPr>
          <w:rFonts w:hint="eastAsia" w:eastAsia="宋体" w:cs="Arial"/>
          <w:bCs/>
          <w:color w:val="auto"/>
          <w:szCs w:val="22"/>
          <w:highlight w:val="none"/>
        </w:rPr>
        <w:t>三、获取招标文件</w:t>
      </w:r>
      <w:bookmarkEnd w:id="21"/>
      <w:bookmarkEnd w:id="22"/>
      <w:bookmarkEnd w:id="23"/>
      <w:bookmarkEnd w:id="24"/>
      <w:bookmarkEnd w:id="25"/>
      <w:bookmarkEnd w:id="26"/>
    </w:p>
    <w:p w14:paraId="0F2DCDAC">
      <w:pPr>
        <w:spacing w:line="480" w:lineRule="exact"/>
        <w:ind w:firstLine="480" w:firstLineChars="200"/>
        <w:rPr>
          <w:rFonts w:ascii="Times New Roman" w:hAnsi="Times New Roman" w:cs="仿宋"/>
          <w:color w:val="auto"/>
          <w:sz w:val="24"/>
          <w:szCs w:val="24"/>
          <w:highlight w:val="none"/>
        </w:rPr>
      </w:pPr>
      <w:bookmarkStart w:id="27" w:name="_Toc28359005"/>
      <w:bookmarkStart w:id="28" w:name="_Toc28359082"/>
      <w:bookmarkStart w:id="29" w:name="_Toc35393624"/>
      <w:bookmarkStart w:id="30" w:name="_Toc38985266"/>
      <w:bookmarkStart w:id="31" w:name="_Toc35393793"/>
      <w:r>
        <w:rPr>
          <w:rFonts w:hint="eastAsia" w:ascii="Times New Roman" w:hAnsi="Times New Roman" w:cs="仿宋"/>
          <w:color w:val="auto"/>
          <w:sz w:val="24"/>
          <w:szCs w:val="24"/>
          <w:highlight w:val="none"/>
        </w:rPr>
        <w:t>1.时间：招标公告发布之日起5个工作日。</w:t>
      </w:r>
    </w:p>
    <w:p w14:paraId="309F2241">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2.方式：投标人应在招标文件提供的时间内，通过“苏采云”系统（网址： http://jszfcg.jsczt.cn</w:t>
      </w:r>
      <w:r>
        <w:rPr>
          <w:rFonts w:hint="eastAsia" w:ascii="Times New Roman" w:hAnsi="Times New Roman" w:cs="仿宋"/>
          <w:color w:val="auto"/>
          <w:sz w:val="24"/>
          <w:szCs w:val="24"/>
          <w:highlight w:val="none"/>
          <w:lang w:eastAsia="zh-CN"/>
        </w:rPr>
        <w:t>）</w:t>
      </w:r>
      <w:r>
        <w:rPr>
          <w:rFonts w:hint="eastAsia" w:ascii="Times New Roman" w:hAnsi="Times New Roman" w:cs="仿宋"/>
          <w:color w:val="auto"/>
          <w:sz w:val="24"/>
          <w:szCs w:val="24"/>
          <w:highlight w:val="none"/>
        </w:rPr>
        <w:t>，使用CA锁登录系统后，找到本项目获取招标文件（后缀名为</w:t>
      </w:r>
      <w:r>
        <w:rPr>
          <w:rFonts w:hint="eastAsia" w:ascii="Times New Roman" w:hAnsi="Times New Roman" w:cs="仿宋"/>
          <w:color w:val="auto"/>
          <w:sz w:val="24"/>
          <w:szCs w:val="24"/>
          <w:highlight w:val="none"/>
          <w:lang w:eastAsia="zh-CN"/>
        </w:rPr>
        <w:t>“</w:t>
      </w:r>
      <w:r>
        <w:rPr>
          <w:rFonts w:hint="eastAsia" w:ascii="Times New Roman" w:hAnsi="Times New Roman" w:cs="仿宋"/>
          <w:color w:val="auto"/>
          <w:sz w:val="24"/>
          <w:szCs w:val="24"/>
          <w:highlight w:val="none"/>
        </w:rPr>
        <w:t>kedt”）。</w:t>
      </w:r>
    </w:p>
    <w:p w14:paraId="278D06CE">
      <w:pPr>
        <w:spacing w:line="480" w:lineRule="exact"/>
        <w:ind w:firstLine="480" w:firstLineChars="200"/>
        <w:rPr>
          <w:rFonts w:hint="eastAsia" w:ascii="Times New Roman" w:hAnsi="Times New Roman" w:cs="仿宋"/>
          <w:color w:val="auto"/>
          <w:sz w:val="24"/>
          <w:szCs w:val="24"/>
          <w:highlight w:val="none"/>
        </w:rPr>
      </w:pPr>
      <w:bookmarkStart w:id="32" w:name="EB0c44ff4da61f4af989d119fe214be450"/>
      <w:r>
        <w:rPr>
          <w:rFonts w:hint="eastAsia" w:ascii="Times New Roman" w:hAnsi="Times New Roman" w:cs="仿宋"/>
          <w:color w:val="auto"/>
          <w:sz w:val="24"/>
          <w:szCs w:val="24"/>
          <w:highlight w:val="none"/>
        </w:rPr>
        <w:t>3.本项目共分一个采购包。投标人参与多个采购包投标的，应按采购包分别获取招标文件。投标人未按要求获取招标文件，后果自负（其投标文件不予接受）。</w:t>
      </w:r>
      <w:bookmarkEnd w:id="32"/>
    </w:p>
    <w:p w14:paraId="553AF805">
      <w:pPr>
        <w:pStyle w:val="3"/>
        <w:spacing w:before="0" w:after="0" w:line="480" w:lineRule="exact"/>
        <w:ind w:firstLine="643" w:firstLineChars="200"/>
        <w:rPr>
          <w:rFonts w:hint="eastAsia" w:eastAsia="宋体" w:cs="Arial"/>
          <w:bCs/>
          <w:color w:val="auto"/>
          <w:szCs w:val="22"/>
          <w:highlight w:val="none"/>
        </w:rPr>
      </w:pPr>
      <w:bookmarkStart w:id="33" w:name="_Toc19148"/>
      <w:r>
        <w:rPr>
          <w:rFonts w:hint="eastAsia" w:eastAsia="宋体" w:cs="Arial"/>
          <w:bCs/>
          <w:color w:val="auto"/>
          <w:szCs w:val="22"/>
          <w:highlight w:val="none"/>
        </w:rPr>
        <w:t>四、提交投标文件</w:t>
      </w:r>
      <w:bookmarkEnd w:id="27"/>
      <w:bookmarkEnd w:id="28"/>
      <w:r>
        <w:rPr>
          <w:rFonts w:hint="eastAsia" w:eastAsia="宋体" w:cs="Arial"/>
          <w:bCs/>
          <w:color w:val="auto"/>
          <w:szCs w:val="22"/>
          <w:highlight w:val="none"/>
        </w:rPr>
        <w:t>截止时间、开标时间和地点</w:t>
      </w:r>
      <w:bookmarkEnd w:id="29"/>
      <w:bookmarkEnd w:id="30"/>
      <w:bookmarkEnd w:id="31"/>
      <w:bookmarkEnd w:id="33"/>
    </w:p>
    <w:p w14:paraId="545CFC3C">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1.提交投标文件截止时间、开标时间：2025年</w:t>
      </w:r>
      <w:r>
        <w:rPr>
          <w:rFonts w:hint="eastAsia" w:ascii="Times New Roman" w:hAnsi="Times New Roman" w:cs="仿宋"/>
          <w:color w:val="auto"/>
          <w:sz w:val="24"/>
          <w:szCs w:val="24"/>
          <w:highlight w:val="yellow"/>
        </w:rPr>
        <w:t xml:space="preserve">  </w:t>
      </w:r>
      <w:r>
        <w:rPr>
          <w:rFonts w:hint="eastAsia" w:ascii="Times New Roman" w:hAnsi="Times New Roman" w:cs="仿宋"/>
          <w:color w:val="auto"/>
          <w:sz w:val="24"/>
          <w:szCs w:val="24"/>
          <w:highlight w:val="none"/>
        </w:rPr>
        <w:t>月</w:t>
      </w:r>
      <w:r>
        <w:rPr>
          <w:rFonts w:hint="eastAsia" w:ascii="Times New Roman" w:hAnsi="Times New Roman" w:cs="仿宋"/>
          <w:color w:val="auto"/>
          <w:sz w:val="24"/>
          <w:szCs w:val="24"/>
          <w:highlight w:val="yellow"/>
        </w:rPr>
        <w:t xml:space="preserve">  </w:t>
      </w:r>
      <w:r>
        <w:rPr>
          <w:rFonts w:hint="eastAsia" w:ascii="Times New Roman" w:hAnsi="Times New Roman" w:cs="仿宋"/>
          <w:color w:val="auto"/>
          <w:sz w:val="24"/>
          <w:szCs w:val="24"/>
          <w:highlight w:val="none"/>
        </w:rPr>
        <w:t>日09点30分（北京时间）</w:t>
      </w:r>
    </w:p>
    <w:p w14:paraId="6EDE1A28">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2.地点：“苏采云”政府采购交易系统网上开标大厅。</w:t>
      </w:r>
    </w:p>
    <w:p w14:paraId="3768DC5E">
      <w:pPr>
        <w:pStyle w:val="3"/>
        <w:spacing w:before="0" w:after="0" w:line="480" w:lineRule="exact"/>
        <w:ind w:firstLine="643" w:firstLineChars="200"/>
        <w:rPr>
          <w:rFonts w:hint="eastAsia" w:eastAsia="宋体" w:cs="Arial"/>
          <w:bCs/>
          <w:color w:val="auto"/>
          <w:szCs w:val="22"/>
          <w:highlight w:val="none"/>
        </w:rPr>
      </w:pPr>
      <w:bookmarkStart w:id="34" w:name="_Toc38985267"/>
      <w:bookmarkStart w:id="35" w:name="_Toc35393794"/>
      <w:bookmarkStart w:id="36" w:name="_Toc28359084"/>
      <w:bookmarkStart w:id="37" w:name="_Toc24820"/>
      <w:bookmarkStart w:id="38" w:name="_Toc35393625"/>
      <w:bookmarkStart w:id="39" w:name="_Toc28359007"/>
      <w:r>
        <w:rPr>
          <w:rFonts w:hint="eastAsia" w:eastAsia="宋体" w:cs="Arial"/>
          <w:bCs/>
          <w:color w:val="auto"/>
          <w:szCs w:val="22"/>
          <w:highlight w:val="none"/>
        </w:rPr>
        <w:t>五、公告期限</w:t>
      </w:r>
      <w:bookmarkEnd w:id="34"/>
      <w:bookmarkEnd w:id="35"/>
      <w:bookmarkEnd w:id="36"/>
      <w:bookmarkEnd w:id="37"/>
      <w:bookmarkEnd w:id="38"/>
      <w:bookmarkEnd w:id="39"/>
    </w:p>
    <w:p w14:paraId="18157305">
      <w:pPr>
        <w:spacing w:line="480" w:lineRule="exact"/>
        <w:ind w:firstLine="480" w:firstLineChars="200"/>
        <w:rPr>
          <w:rFonts w:hint="eastAsia" w:ascii="Times New Roman" w:hAnsi="Times New Roman" w:cs="仿宋"/>
          <w:color w:val="auto"/>
          <w:sz w:val="24"/>
          <w:szCs w:val="24"/>
          <w:highlight w:val="none"/>
        </w:rPr>
      </w:pPr>
      <w:bookmarkStart w:id="40" w:name="_Toc35393626"/>
      <w:bookmarkStart w:id="41" w:name="_Toc35393795"/>
      <w:bookmarkStart w:id="42" w:name="_Toc38985268"/>
      <w:r>
        <w:rPr>
          <w:rFonts w:hint="eastAsia" w:ascii="Times New Roman" w:hAnsi="Times New Roman" w:cs="仿宋"/>
          <w:color w:val="auto"/>
          <w:sz w:val="24"/>
          <w:szCs w:val="24"/>
          <w:highlight w:val="none"/>
        </w:rPr>
        <w:t>招标公告及招标文件公告期限为自本公告发布之日起5个工作日。</w:t>
      </w:r>
    </w:p>
    <w:p w14:paraId="051858FE">
      <w:pPr>
        <w:pStyle w:val="3"/>
        <w:spacing w:before="0" w:after="0" w:line="480" w:lineRule="exact"/>
        <w:ind w:firstLine="643" w:firstLineChars="200"/>
        <w:rPr>
          <w:rFonts w:hint="eastAsia" w:eastAsia="宋体" w:cs="Arial"/>
          <w:bCs/>
          <w:color w:val="auto"/>
          <w:szCs w:val="22"/>
          <w:highlight w:val="none"/>
        </w:rPr>
      </w:pPr>
      <w:bookmarkStart w:id="43" w:name="_Toc13415"/>
      <w:r>
        <w:rPr>
          <w:rFonts w:hint="eastAsia" w:eastAsia="宋体" w:cs="Arial"/>
          <w:bCs/>
          <w:color w:val="auto"/>
          <w:szCs w:val="22"/>
          <w:highlight w:val="none"/>
        </w:rPr>
        <w:t>六、其他补充事宜</w:t>
      </w:r>
      <w:bookmarkEnd w:id="40"/>
      <w:bookmarkEnd w:id="41"/>
      <w:bookmarkEnd w:id="42"/>
      <w:bookmarkEnd w:id="43"/>
    </w:p>
    <w:p w14:paraId="50606B29">
      <w:pPr>
        <w:spacing w:line="480" w:lineRule="exact"/>
        <w:ind w:firstLine="480" w:firstLineChars="200"/>
        <w:rPr>
          <w:rFonts w:hint="eastAsia" w:ascii="Times New Roman" w:hAnsi="Times New Roman" w:cs="仿宋"/>
          <w:color w:val="auto"/>
          <w:sz w:val="24"/>
          <w:szCs w:val="24"/>
          <w:highlight w:val="none"/>
        </w:rPr>
      </w:pPr>
      <w:bookmarkStart w:id="44" w:name="EB64e1f522fd8c43fcb4d3ba471386b3e7"/>
      <w:bookmarkStart w:id="45" w:name="_Toc35393796"/>
      <w:bookmarkStart w:id="46" w:name="_Toc38985269"/>
      <w:bookmarkStart w:id="47" w:name="_Toc35393627"/>
      <w:bookmarkStart w:id="48" w:name="_Toc28359008"/>
      <w:bookmarkStart w:id="49" w:name="_Toc28359085"/>
      <w:r>
        <w:rPr>
          <w:rFonts w:hint="eastAsia" w:ascii="Times New Roman" w:hAnsi="Times New Roman" w:cs="仿宋"/>
          <w:color w:val="auto"/>
          <w:sz w:val="24"/>
          <w:szCs w:val="24"/>
          <w:highlight w:val="none"/>
        </w:rPr>
        <w:t>1.招标公告发布媒体：</w:t>
      </w:r>
      <w:bookmarkStart w:id="50" w:name="OLE_LINK3"/>
      <w:r>
        <w:rPr>
          <w:rFonts w:hint="eastAsia" w:ascii="Times New Roman" w:hAnsi="Times New Roman" w:cs="仿宋"/>
          <w:color w:val="auto"/>
          <w:sz w:val="24"/>
          <w:szCs w:val="24"/>
          <w:highlight w:val="none"/>
        </w:rPr>
        <w:t>江苏政府采购网</w:t>
      </w:r>
      <w:bookmarkEnd w:id="50"/>
      <w:r>
        <w:rPr>
          <w:rFonts w:hint="eastAsia" w:ascii="Times New Roman" w:hAnsi="Times New Roman" w:cs="仿宋"/>
          <w:color w:val="auto"/>
          <w:sz w:val="24"/>
          <w:szCs w:val="24"/>
          <w:highlight w:val="none"/>
        </w:rPr>
        <w:t>、宿迁市政府采购网等。</w:t>
      </w:r>
    </w:p>
    <w:p w14:paraId="75DEF3D5">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2.“CA”数字证书办理：“苏采云”系统目前仅支持“苏采云”系统下的意源CA。省内各地区办理的“苏采云”系统下的意源CA全省通用。宿迁地区CA数字证书办理联系方式：18762803891。</w:t>
      </w:r>
    </w:p>
    <w:p w14:paraId="7265E75B">
      <w:pPr>
        <w:spacing w:line="480" w:lineRule="exact"/>
        <w:ind w:firstLine="480" w:firstLineChars="200"/>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3.宿迁地区“苏采云”系统技术支持客服电话：0527-84225125、0519-86722806。</w:t>
      </w:r>
    </w:p>
    <w:bookmarkEnd w:id="44"/>
    <w:p w14:paraId="4A8BAFC4">
      <w:pPr>
        <w:spacing w:line="480" w:lineRule="exact"/>
        <w:ind w:firstLine="480" w:firstLineChars="200"/>
        <w:rPr>
          <w:rFonts w:hint="eastAsia" w:ascii="Times New Roman" w:hAnsi="Times New Roman" w:cs="仿宋"/>
          <w:color w:val="auto"/>
          <w:sz w:val="24"/>
          <w:highlight w:val="none"/>
        </w:rPr>
      </w:pPr>
      <w:bookmarkStart w:id="51" w:name="_Toc29049"/>
      <w:r>
        <w:rPr>
          <w:rFonts w:hint="eastAsia" w:ascii="Times New Roman" w:hAnsi="Times New Roman" w:cs="仿宋"/>
          <w:color w:val="auto"/>
          <w:sz w:val="24"/>
          <w:szCs w:val="24"/>
          <w:highlight w:val="none"/>
        </w:rPr>
        <w:t>4.</w:t>
      </w:r>
      <w:r>
        <w:rPr>
          <w:rFonts w:hint="eastAsia" w:ascii="Times New Roman" w:hAnsi="Times New Roman" w:cs="仿宋"/>
          <w:color w:val="auto"/>
          <w:sz w:val="24"/>
          <w:highlight w:val="none"/>
        </w:rPr>
        <w:t>质疑渠道：投标人登录“苏采云”系统“项目质疑申请”模块向采购人提出，质疑处理联系方式详见“采购人信息”；</w:t>
      </w:r>
      <w:r>
        <w:rPr>
          <w:rFonts w:hint="eastAsia" w:ascii="Times New Roman" w:hAnsi="Times New Roman" w:cs="仿宋"/>
          <w:color w:val="auto"/>
          <w:sz w:val="24"/>
          <w:szCs w:val="24"/>
          <w:highlight w:val="none"/>
        </w:rPr>
        <w:t>财政部门投诉受理电话：</w:t>
      </w:r>
      <w:r>
        <w:rPr>
          <w:rFonts w:hint="eastAsia" w:ascii="Times New Roman" w:hAnsi="Times New Roman" w:cs="仿宋"/>
          <w:color w:val="auto"/>
          <w:sz w:val="24"/>
          <w:szCs w:val="24"/>
          <w:highlight w:val="yellow"/>
        </w:rPr>
        <w:t>0527-</w:t>
      </w:r>
      <w:r>
        <w:rPr>
          <w:rFonts w:hint="eastAsia" w:ascii="Times New Roman" w:hAnsi="Times New Roman" w:cs="仿宋"/>
          <w:color w:val="auto"/>
          <w:sz w:val="24"/>
          <w:szCs w:val="24"/>
          <w:highlight w:val="yellow"/>
          <w:lang w:val="en-US" w:eastAsia="zh-CN"/>
        </w:rPr>
        <w:t>83559270</w:t>
      </w:r>
      <w:r>
        <w:rPr>
          <w:rFonts w:hint="eastAsia" w:ascii="Times New Roman" w:hAnsi="Times New Roman" w:cs="仿宋"/>
          <w:color w:val="auto"/>
          <w:sz w:val="24"/>
          <w:szCs w:val="24"/>
          <w:highlight w:val="none"/>
        </w:rPr>
        <w:t>。</w:t>
      </w:r>
    </w:p>
    <w:p w14:paraId="283EC28A">
      <w:pPr>
        <w:pStyle w:val="3"/>
        <w:spacing w:before="0" w:after="0" w:line="480" w:lineRule="exact"/>
        <w:ind w:firstLine="643" w:firstLineChars="200"/>
        <w:rPr>
          <w:rFonts w:hint="eastAsia" w:eastAsia="宋体" w:cs="Arial"/>
          <w:bCs/>
          <w:color w:val="auto"/>
          <w:szCs w:val="22"/>
          <w:highlight w:val="none"/>
        </w:rPr>
      </w:pPr>
      <w:r>
        <w:rPr>
          <w:rFonts w:hint="eastAsia" w:eastAsia="宋体" w:cs="Arial"/>
          <w:bCs/>
          <w:color w:val="auto"/>
          <w:szCs w:val="22"/>
          <w:highlight w:val="none"/>
        </w:rPr>
        <w:t>七、本次招标联系方式</w:t>
      </w:r>
      <w:bookmarkEnd w:id="45"/>
      <w:bookmarkEnd w:id="46"/>
      <w:bookmarkEnd w:id="47"/>
      <w:bookmarkEnd w:id="48"/>
      <w:bookmarkEnd w:id="49"/>
      <w:bookmarkEnd w:id="51"/>
    </w:p>
    <w:p w14:paraId="7D26F6E2">
      <w:pPr>
        <w:widowControl/>
        <w:spacing w:line="480" w:lineRule="exact"/>
        <w:ind w:firstLine="480" w:firstLineChars="200"/>
        <w:jc w:val="left"/>
        <w:rPr>
          <w:rFonts w:ascii="宋体" w:hAnsi="宋体"/>
          <w:color w:val="auto"/>
          <w:sz w:val="24"/>
          <w:szCs w:val="24"/>
          <w:highlight w:val="none"/>
        </w:rPr>
      </w:pPr>
      <w:r>
        <w:rPr>
          <w:rFonts w:hint="eastAsia" w:ascii="宋体" w:hAnsi="宋体" w:cs="宋体"/>
          <w:color w:val="auto"/>
          <w:sz w:val="24"/>
          <w:szCs w:val="24"/>
          <w:highlight w:val="none"/>
        </w:rPr>
        <w:t>1.采购人信息</w:t>
      </w:r>
    </w:p>
    <w:p w14:paraId="0B63BEC5">
      <w:pPr>
        <w:spacing w:line="480" w:lineRule="exact"/>
        <w:ind w:firstLine="480" w:firstLineChars="200"/>
        <w:rPr>
          <w:rFonts w:ascii="宋体" w:hAnsi="宋体"/>
          <w:color w:val="auto"/>
          <w:sz w:val="24"/>
          <w:szCs w:val="24"/>
          <w:highlight w:val="none"/>
        </w:rPr>
      </w:pPr>
      <w:r>
        <w:rPr>
          <w:rFonts w:hint="eastAsia" w:ascii="Times New Roman" w:hAnsi="Times New Roman" w:eastAsia="宋体" w:cs="仿宋"/>
          <w:color w:val="auto"/>
          <w:sz w:val="24"/>
          <w:highlight w:val="none"/>
        </w:rPr>
        <w:t>名   称：</w:t>
      </w:r>
      <w:r>
        <w:rPr>
          <w:rFonts w:hint="eastAsia" w:ascii="Times New Roman" w:hAnsi="Times New Roman" w:eastAsia="宋体" w:cs="仿宋"/>
          <w:color w:val="auto"/>
          <w:sz w:val="24"/>
          <w:highlight w:val="none"/>
          <w:u w:val="single"/>
        </w:rPr>
        <w:t>宿迁市沭阳生态环境局</w:t>
      </w:r>
    </w:p>
    <w:p w14:paraId="71F4BF61">
      <w:pPr>
        <w:spacing w:line="480" w:lineRule="exact"/>
        <w:ind w:firstLine="480" w:firstLineChars="200"/>
        <w:rPr>
          <w:rFonts w:hint="eastAsia" w:ascii="Times New Roman" w:hAnsi="Times New Roman" w:eastAsia="宋体" w:cs="仿宋"/>
          <w:color w:val="auto"/>
          <w:sz w:val="24"/>
          <w:highlight w:val="none"/>
        </w:rPr>
      </w:pPr>
      <w:r>
        <w:rPr>
          <w:rFonts w:hint="eastAsia" w:ascii="Times New Roman" w:hAnsi="Times New Roman" w:eastAsia="宋体" w:cs="仿宋"/>
          <w:color w:val="auto"/>
          <w:sz w:val="24"/>
          <w:highlight w:val="none"/>
        </w:rPr>
        <w:t>地   址：</w:t>
      </w:r>
      <w:r>
        <w:rPr>
          <w:rFonts w:hint="eastAsia" w:ascii="Times New Roman" w:hAnsi="Times New Roman" w:eastAsia="宋体" w:cs="仿宋"/>
          <w:color w:val="auto"/>
          <w:sz w:val="24"/>
          <w:highlight w:val="none"/>
          <w:lang w:val="en-US" w:eastAsia="zh-CN"/>
        </w:rPr>
        <w:fldChar w:fldCharType="begin"/>
      </w:r>
      <w:r>
        <w:rPr>
          <w:rFonts w:hint="eastAsia" w:ascii="Times New Roman" w:hAnsi="Times New Roman" w:eastAsia="宋体" w:cs="仿宋"/>
          <w:color w:val="auto"/>
          <w:sz w:val="24"/>
          <w:highlight w:val="none"/>
          <w:lang w:val="en-US" w:eastAsia="zh-CN"/>
        </w:rPr>
        <w:instrText xml:space="preserve"> HYPERLINK "http://www.baidu.com/link?url=RQ5syJgndpaDCL54JRo5eJexBFLK92FMz2XBid7qVijrgelBXAGE4c9OCoVjOCbB392px5mX5vcpi0TXBPXuScigM0zqsvkIX0LBUV2v9ex74rB3K2uSLG1UzTPkH_IUiAo1DNw5rsG41cmzR9wxx_YMHhJuuoMnbrCMhCRVUiBL0qdiurtpY2kEGYmoSS1tuupQ8aLNspyele4xGs7WljUFzZlAi3d9NppO8R-yyQFHHvDBVi7f3RqfX7h4qJRI3EfRa0Y9qwdKeG0dCmdJhnBnAb0Vz9TPE2qJRnZcvYQyDEF3B9LODn5ojNZIgVCg" \t "https://www.baidu.com/_blank" </w:instrText>
      </w:r>
      <w:r>
        <w:rPr>
          <w:rFonts w:hint="eastAsia" w:ascii="Times New Roman" w:hAnsi="Times New Roman" w:eastAsia="宋体" w:cs="仿宋"/>
          <w:color w:val="auto"/>
          <w:sz w:val="24"/>
          <w:highlight w:val="none"/>
          <w:lang w:val="en-US" w:eastAsia="zh-CN"/>
        </w:rPr>
        <w:fldChar w:fldCharType="separate"/>
      </w:r>
      <w:r>
        <w:rPr>
          <w:rFonts w:hint="default" w:ascii="Times New Roman" w:hAnsi="Times New Roman" w:eastAsia="宋体" w:cs="仿宋"/>
          <w:color w:val="auto"/>
          <w:sz w:val="24"/>
          <w:highlight w:val="none"/>
          <w:u w:val="single"/>
        </w:rPr>
        <w:t>沭阳县迎宾大道1106号</w:t>
      </w:r>
    </w:p>
    <w:p w14:paraId="22081A4E">
      <w:pPr>
        <w:spacing w:line="480" w:lineRule="exact"/>
        <w:ind w:firstLine="480" w:firstLineChars="200"/>
      </w:pPr>
      <w:r>
        <w:rPr>
          <w:rFonts w:hint="default" w:ascii="Times New Roman" w:hAnsi="Times New Roman" w:eastAsia="宋体" w:cs="仿宋"/>
          <w:color w:val="auto"/>
          <w:sz w:val="24"/>
          <w:highlight w:val="none"/>
          <w:lang w:val="en-US" w:eastAsia="zh-CN"/>
        </w:rPr>
        <w:fldChar w:fldCharType="end"/>
      </w:r>
    </w:p>
    <w:p w14:paraId="7A077318">
      <w:pPr>
        <w:spacing w:line="480" w:lineRule="exact"/>
        <w:ind w:firstLine="480" w:firstLineChars="200"/>
        <w:jc w:val="left"/>
        <w:rPr>
          <w:rFonts w:ascii="宋体" w:hAnsi="宋体"/>
          <w:color w:val="auto"/>
          <w:sz w:val="24"/>
          <w:szCs w:val="24"/>
          <w:highlight w:val="none"/>
        </w:rPr>
      </w:pPr>
    </w:p>
    <w:p w14:paraId="2B2C006B">
      <w:pPr>
        <w:spacing w:line="480" w:lineRule="exact"/>
        <w:ind w:firstLine="480" w:firstLineChars="200"/>
        <w:jc w:val="left"/>
        <w:rPr>
          <w:rFonts w:hint="eastAsia" w:ascii="宋体" w:hAnsi="宋体"/>
          <w:color w:val="auto"/>
          <w:sz w:val="24"/>
          <w:szCs w:val="24"/>
          <w:highlight w:val="none"/>
          <w:u w:val="single"/>
        </w:rPr>
      </w:pPr>
      <w:r>
        <w:rPr>
          <w:rFonts w:hint="eastAsia" w:ascii="宋体" w:hAnsi="宋体"/>
          <w:color w:val="auto"/>
          <w:sz w:val="24"/>
          <w:szCs w:val="24"/>
          <w:highlight w:val="none"/>
        </w:rPr>
        <w:t>联 系 人：</w:t>
      </w:r>
      <w:r>
        <w:rPr>
          <w:rFonts w:hint="eastAsia" w:ascii="宋体" w:hAnsi="宋体"/>
          <w:color w:val="auto"/>
          <w:sz w:val="24"/>
          <w:szCs w:val="24"/>
          <w:highlight w:val="none"/>
          <w:u w:val="single"/>
          <w:lang w:val="en-US" w:eastAsia="zh-CN"/>
        </w:rPr>
        <w:t>许</w:t>
      </w:r>
      <w:r>
        <w:rPr>
          <w:rFonts w:hint="eastAsia" w:ascii="宋体" w:hAnsi="宋体"/>
          <w:color w:val="auto"/>
          <w:sz w:val="24"/>
          <w:szCs w:val="24"/>
          <w:highlight w:val="none"/>
          <w:u w:val="single"/>
        </w:rPr>
        <w:t>良国</w:t>
      </w:r>
    </w:p>
    <w:p w14:paraId="28EA6C1F">
      <w:pPr>
        <w:spacing w:line="480" w:lineRule="exact"/>
        <w:ind w:firstLine="480" w:firstLineChars="200"/>
        <w:jc w:val="left"/>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联系方式：</w:t>
      </w:r>
      <w:bookmarkStart w:id="52" w:name="_Toc28359086"/>
      <w:bookmarkStart w:id="53" w:name="_Toc28359009"/>
      <w:r>
        <w:rPr>
          <w:rFonts w:hint="eastAsia" w:ascii="宋体" w:hAnsi="宋体"/>
          <w:color w:val="auto"/>
          <w:sz w:val="24"/>
          <w:szCs w:val="24"/>
          <w:highlight w:val="none"/>
          <w:u w:val="single"/>
          <w:lang w:val="en-US" w:eastAsia="zh-CN"/>
        </w:rPr>
        <w:t>13951290565</w:t>
      </w:r>
    </w:p>
    <w:p w14:paraId="67A44A25">
      <w:pPr>
        <w:spacing w:line="480" w:lineRule="exact"/>
        <w:ind w:firstLine="480" w:firstLineChars="200"/>
        <w:jc w:val="left"/>
        <w:rPr>
          <w:rFonts w:ascii="宋体" w:hAnsi="宋体"/>
          <w:color w:val="auto"/>
          <w:sz w:val="24"/>
          <w:szCs w:val="24"/>
          <w:highlight w:val="none"/>
        </w:rPr>
      </w:pPr>
      <w:r>
        <w:rPr>
          <w:rFonts w:hint="eastAsia" w:ascii="宋体" w:hAnsi="宋体" w:cs="宋体"/>
          <w:color w:val="auto"/>
          <w:sz w:val="24"/>
          <w:szCs w:val="24"/>
          <w:highlight w:val="none"/>
        </w:rPr>
        <w:t>2.</w:t>
      </w:r>
      <w:bookmarkEnd w:id="52"/>
      <w:bookmarkEnd w:id="53"/>
      <w:r>
        <w:rPr>
          <w:rFonts w:hint="eastAsia" w:ascii="宋体" w:hAnsi="宋体" w:cs="宋体"/>
          <w:color w:val="auto"/>
          <w:sz w:val="24"/>
          <w:szCs w:val="24"/>
          <w:highlight w:val="none"/>
        </w:rPr>
        <w:t>采购代理机构信息</w:t>
      </w:r>
    </w:p>
    <w:p w14:paraId="7EDC4DC5">
      <w:pPr>
        <w:spacing w:line="480" w:lineRule="exact"/>
        <w:ind w:firstLine="480" w:firstLineChars="200"/>
        <w:rPr>
          <w:rFonts w:hint="eastAsia" w:ascii="Times New Roman" w:hAnsi="Times New Roman" w:eastAsia="宋体" w:cs="仿宋"/>
          <w:color w:val="auto"/>
          <w:sz w:val="24"/>
          <w:szCs w:val="24"/>
          <w:highlight w:val="none"/>
          <w:lang w:eastAsia="zh-CN"/>
        </w:rPr>
      </w:pPr>
      <w:r>
        <w:rPr>
          <w:rFonts w:hint="default" w:ascii="Times New Roman" w:hAnsi="Times New Roman" w:eastAsia="宋体" w:cs="仿宋"/>
          <w:color w:val="auto"/>
          <w:sz w:val="24"/>
          <w:szCs w:val="24"/>
          <w:highlight w:val="none"/>
        </w:rPr>
        <w:t>单位名称：</w:t>
      </w:r>
      <w:r>
        <w:rPr>
          <w:rFonts w:hint="eastAsia" w:ascii="Times New Roman" w:hAnsi="Times New Roman" w:eastAsia="宋体" w:cs="仿宋"/>
          <w:color w:val="auto"/>
          <w:sz w:val="24"/>
          <w:szCs w:val="24"/>
          <w:highlight w:val="none"/>
          <w:u w:val="single"/>
          <w:lang w:eastAsia="zh-CN"/>
        </w:rPr>
        <w:t>江苏中亿华建设项目管理有限公司</w:t>
      </w:r>
    </w:p>
    <w:p w14:paraId="2C07F16E">
      <w:pPr>
        <w:spacing w:line="480" w:lineRule="exact"/>
        <w:ind w:firstLine="480" w:firstLineChars="200"/>
        <w:rPr>
          <w:rFonts w:hint="default" w:ascii="Times New Roman" w:hAnsi="Times New Roman" w:eastAsia="宋体" w:cs="仿宋"/>
          <w:color w:val="auto"/>
          <w:sz w:val="24"/>
          <w:szCs w:val="24"/>
          <w:highlight w:val="none"/>
        </w:rPr>
      </w:pPr>
      <w:r>
        <w:rPr>
          <w:rFonts w:hint="default" w:ascii="Times New Roman" w:hAnsi="Times New Roman" w:eastAsia="宋体" w:cs="仿宋"/>
          <w:color w:val="auto"/>
          <w:sz w:val="24"/>
          <w:szCs w:val="24"/>
          <w:highlight w:val="none"/>
        </w:rPr>
        <w:t>单位地址：</w:t>
      </w:r>
      <w:r>
        <w:rPr>
          <w:rFonts w:hint="default" w:ascii="Times New Roman" w:hAnsi="Times New Roman" w:eastAsia="宋体" w:cs="仿宋"/>
          <w:color w:val="auto"/>
          <w:sz w:val="24"/>
          <w:szCs w:val="24"/>
          <w:highlight w:val="none"/>
          <w:u w:val="single"/>
        </w:rPr>
        <w:t>沭阳县常州路2号7楼</w:t>
      </w:r>
    </w:p>
    <w:p w14:paraId="1FD89C35">
      <w:pPr>
        <w:spacing w:line="480" w:lineRule="exact"/>
        <w:ind w:firstLine="480" w:firstLineChars="200"/>
        <w:rPr>
          <w:rFonts w:hint="eastAsia" w:ascii="Times New Roman" w:hAnsi="Times New Roman" w:eastAsia="宋体" w:cs="仿宋"/>
          <w:color w:val="auto"/>
          <w:sz w:val="24"/>
          <w:szCs w:val="24"/>
          <w:highlight w:val="none"/>
          <w:lang w:eastAsia="zh-CN"/>
        </w:rPr>
      </w:pPr>
      <w:r>
        <w:rPr>
          <w:rFonts w:hint="default" w:ascii="Times New Roman" w:hAnsi="Times New Roman" w:eastAsia="宋体" w:cs="仿宋"/>
          <w:color w:val="auto"/>
          <w:sz w:val="24"/>
          <w:szCs w:val="24"/>
          <w:highlight w:val="none"/>
        </w:rPr>
        <w:t>联系人：</w:t>
      </w:r>
      <w:r>
        <w:rPr>
          <w:rFonts w:hint="eastAsia" w:ascii="Times New Roman" w:hAnsi="Times New Roman" w:eastAsia="宋体" w:cs="仿宋"/>
          <w:color w:val="auto"/>
          <w:sz w:val="24"/>
          <w:szCs w:val="24"/>
          <w:highlight w:val="none"/>
          <w:u w:val="single"/>
          <w:lang w:eastAsia="zh-CN"/>
        </w:rPr>
        <w:t>蔡震</w:t>
      </w:r>
    </w:p>
    <w:p w14:paraId="15A57AB6">
      <w:pPr>
        <w:spacing w:line="480" w:lineRule="exact"/>
        <w:ind w:firstLine="480" w:firstLineChars="200"/>
        <w:rPr>
          <w:rFonts w:hint="eastAsia" w:ascii="Times New Roman" w:hAnsi="Times New Roman" w:eastAsia="宋体" w:cs="仿宋"/>
          <w:color w:val="auto"/>
          <w:sz w:val="24"/>
          <w:szCs w:val="24"/>
          <w:highlight w:val="none"/>
          <w:lang w:eastAsia="zh-CN"/>
        </w:rPr>
      </w:pPr>
      <w:r>
        <w:rPr>
          <w:rFonts w:hint="default" w:ascii="Times New Roman" w:hAnsi="Times New Roman" w:eastAsia="宋体" w:cs="仿宋"/>
          <w:color w:val="auto"/>
          <w:sz w:val="24"/>
          <w:szCs w:val="24"/>
          <w:highlight w:val="none"/>
        </w:rPr>
        <w:t>联系电话：</w:t>
      </w:r>
      <w:r>
        <w:rPr>
          <w:rFonts w:hint="eastAsia" w:ascii="Times New Roman" w:hAnsi="Times New Roman" w:eastAsia="宋体" w:cs="仿宋"/>
          <w:color w:val="auto"/>
          <w:sz w:val="24"/>
          <w:szCs w:val="24"/>
          <w:highlight w:val="none"/>
          <w:u w:val="single"/>
          <w:lang w:eastAsia="zh-CN"/>
        </w:rPr>
        <w:t>15358356055</w:t>
      </w:r>
    </w:p>
    <w:p w14:paraId="7E1B0F9C">
      <w:pPr>
        <w:spacing w:line="480" w:lineRule="exact"/>
        <w:rPr>
          <w:rFonts w:hint="default" w:ascii="仿宋_GB2312" w:eastAsia="宋体"/>
          <w:color w:val="auto"/>
          <w:sz w:val="24"/>
          <w:highlight w:val="yellow"/>
          <w:lang w:val="en-US" w:eastAsia="zh-CN"/>
        </w:rPr>
      </w:pPr>
    </w:p>
    <w:p w14:paraId="0E902FD8">
      <w:pPr>
        <w:spacing w:line="480" w:lineRule="exact"/>
        <w:ind w:firstLine="480" w:firstLineChars="200"/>
        <w:rPr>
          <w:rFonts w:ascii="仿宋_GB2312" w:eastAsia="仿宋_GB2312"/>
          <w:color w:val="auto"/>
          <w:sz w:val="24"/>
          <w:highlight w:val="none"/>
        </w:rPr>
      </w:pPr>
    </w:p>
    <w:p w14:paraId="612BD452">
      <w:pPr>
        <w:spacing w:line="480" w:lineRule="exact"/>
        <w:ind w:firstLine="480" w:firstLineChars="200"/>
        <w:jc w:val="center"/>
        <w:outlineLvl w:val="0"/>
        <w:rPr>
          <w:rFonts w:hint="eastAsia" w:eastAsia="黑体"/>
          <w:color w:val="auto"/>
          <w:sz w:val="44"/>
          <w:highlight w:val="none"/>
        </w:rPr>
      </w:pPr>
      <w:r>
        <w:rPr>
          <w:rFonts w:hint="eastAsia" w:ascii="仿宋_GB2312" w:eastAsia="仿宋_GB2312"/>
          <w:color w:val="auto"/>
          <w:sz w:val="24"/>
          <w:highlight w:val="none"/>
        </w:rPr>
        <w:br w:type="page"/>
      </w:r>
      <w:bookmarkStart w:id="54" w:name="_Toc15265"/>
      <w:bookmarkStart w:id="55" w:name="_Toc81575153"/>
      <w:bookmarkStart w:id="56" w:name="_Toc9425"/>
      <w:bookmarkStart w:id="57" w:name="_Toc11687"/>
      <w:bookmarkStart w:id="58" w:name="_Toc81575190"/>
      <w:r>
        <w:rPr>
          <w:rFonts w:hint="eastAsia" w:eastAsia="黑体"/>
          <w:color w:val="auto"/>
          <w:sz w:val="44"/>
          <w:highlight w:val="none"/>
        </w:rPr>
        <w:t>第二章  投标人须知</w:t>
      </w:r>
      <w:bookmarkEnd w:id="54"/>
      <w:bookmarkEnd w:id="55"/>
      <w:bookmarkEnd w:id="56"/>
      <w:bookmarkEnd w:id="57"/>
      <w:bookmarkEnd w:id="58"/>
    </w:p>
    <w:p w14:paraId="54D0E840">
      <w:pPr>
        <w:pStyle w:val="3"/>
        <w:spacing w:before="0" w:after="120" w:line="520" w:lineRule="exact"/>
        <w:rPr>
          <w:rFonts w:hint="eastAsia" w:eastAsia="宋体" w:cs="Arial"/>
          <w:bCs/>
          <w:color w:val="auto"/>
          <w:szCs w:val="22"/>
          <w:highlight w:val="none"/>
        </w:rPr>
      </w:pPr>
      <w:bookmarkStart w:id="59" w:name="_Toc4529"/>
      <w:r>
        <w:rPr>
          <w:rFonts w:hint="eastAsia" w:eastAsia="宋体" w:cs="Arial"/>
          <w:bCs/>
          <w:color w:val="auto"/>
          <w:szCs w:val="22"/>
          <w:highlight w:val="none"/>
        </w:rPr>
        <w:t>投标人须知前附表：</w:t>
      </w:r>
      <w:bookmarkEnd w:id="59"/>
    </w:p>
    <w:tbl>
      <w:tblPr>
        <w:tblStyle w:val="53"/>
        <w:tblpPr w:leftFromText="180" w:rightFromText="180" w:vertAnchor="text" w:horzAnchor="page" w:tblpX="1530" w:tblpY="228"/>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772"/>
        <w:gridCol w:w="6579"/>
      </w:tblGrid>
      <w:tr w14:paraId="3DA35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14:paraId="2D131673">
            <w:pPr>
              <w:jc w:val="center"/>
              <w:rPr>
                <w:rFonts w:hint="eastAsia" w:ascii="仿宋_GB2312" w:hAnsi="仿宋"/>
                <w:b/>
                <w:color w:val="auto"/>
                <w:sz w:val="24"/>
                <w:szCs w:val="24"/>
                <w:highlight w:val="none"/>
              </w:rPr>
            </w:pPr>
            <w:bookmarkStart w:id="60" w:name="_Toc29262"/>
            <w:bookmarkStart w:id="61" w:name="_Toc81575154"/>
            <w:bookmarkStart w:id="62" w:name="_Toc81575191"/>
            <w:r>
              <w:rPr>
                <w:rFonts w:hint="eastAsia" w:ascii="仿宋_GB2312" w:hAnsi="仿宋"/>
                <w:b/>
                <w:color w:val="auto"/>
                <w:sz w:val="24"/>
                <w:szCs w:val="24"/>
                <w:highlight w:val="none"/>
              </w:rPr>
              <w:t>序号</w:t>
            </w:r>
          </w:p>
        </w:tc>
        <w:tc>
          <w:tcPr>
            <w:tcW w:w="1772" w:type="dxa"/>
            <w:tcBorders>
              <w:top w:val="single" w:color="auto" w:sz="4" w:space="0"/>
              <w:left w:val="nil"/>
              <w:bottom w:val="single" w:color="auto" w:sz="4" w:space="0"/>
              <w:right w:val="single" w:color="auto" w:sz="4" w:space="0"/>
            </w:tcBorders>
            <w:noWrap w:val="0"/>
            <w:vAlign w:val="center"/>
          </w:tcPr>
          <w:p w14:paraId="07F054FA">
            <w:pPr>
              <w:jc w:val="center"/>
              <w:rPr>
                <w:rFonts w:hint="eastAsia" w:ascii="仿宋_GB2312" w:hAnsi="仿宋"/>
                <w:b/>
                <w:color w:val="auto"/>
                <w:sz w:val="24"/>
                <w:szCs w:val="24"/>
                <w:highlight w:val="none"/>
              </w:rPr>
            </w:pPr>
            <w:r>
              <w:rPr>
                <w:rFonts w:hint="eastAsia" w:ascii="仿宋_GB2312" w:hAnsi="仿宋"/>
                <w:b/>
                <w:color w:val="auto"/>
                <w:sz w:val="24"/>
                <w:szCs w:val="24"/>
                <w:highlight w:val="none"/>
              </w:rPr>
              <w:t>内容</w:t>
            </w:r>
          </w:p>
        </w:tc>
        <w:tc>
          <w:tcPr>
            <w:tcW w:w="6579" w:type="dxa"/>
            <w:tcBorders>
              <w:top w:val="single" w:color="auto" w:sz="4" w:space="0"/>
              <w:left w:val="nil"/>
              <w:bottom w:val="single" w:color="auto" w:sz="4" w:space="0"/>
              <w:right w:val="single" w:color="auto" w:sz="4" w:space="0"/>
            </w:tcBorders>
            <w:noWrap w:val="0"/>
            <w:vAlign w:val="center"/>
          </w:tcPr>
          <w:p w14:paraId="21FD9C61">
            <w:pPr>
              <w:jc w:val="center"/>
              <w:rPr>
                <w:rFonts w:hint="eastAsia" w:ascii="仿宋_GB2312" w:hAnsi="仿宋"/>
                <w:b/>
                <w:color w:val="auto"/>
                <w:sz w:val="24"/>
                <w:szCs w:val="24"/>
                <w:highlight w:val="none"/>
              </w:rPr>
            </w:pPr>
            <w:r>
              <w:rPr>
                <w:rFonts w:hint="eastAsia" w:ascii="仿宋_GB2312" w:hAnsi="仿宋"/>
                <w:b/>
                <w:color w:val="auto"/>
                <w:sz w:val="24"/>
                <w:szCs w:val="24"/>
                <w:highlight w:val="none"/>
              </w:rPr>
              <w:t>说明及要求</w:t>
            </w:r>
          </w:p>
        </w:tc>
      </w:tr>
      <w:tr w14:paraId="57D1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4289392B">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w:t>
            </w:r>
          </w:p>
        </w:tc>
        <w:tc>
          <w:tcPr>
            <w:tcW w:w="1772" w:type="dxa"/>
            <w:tcBorders>
              <w:top w:val="single" w:color="auto" w:sz="4" w:space="0"/>
              <w:left w:val="nil"/>
              <w:bottom w:val="single" w:color="auto" w:sz="4" w:space="0"/>
              <w:right w:val="single" w:color="auto" w:sz="4" w:space="0"/>
            </w:tcBorders>
            <w:noWrap w:val="0"/>
            <w:vAlign w:val="center"/>
          </w:tcPr>
          <w:p w14:paraId="17FCA168">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项目属性</w:t>
            </w:r>
          </w:p>
        </w:tc>
        <w:tc>
          <w:tcPr>
            <w:tcW w:w="6579" w:type="dxa"/>
            <w:tcBorders>
              <w:top w:val="single" w:color="auto" w:sz="4" w:space="0"/>
              <w:left w:val="nil"/>
              <w:bottom w:val="single" w:color="auto" w:sz="4" w:space="0"/>
              <w:right w:val="single" w:color="auto" w:sz="4" w:space="0"/>
            </w:tcBorders>
            <w:noWrap w:val="0"/>
            <w:vAlign w:val="center"/>
          </w:tcPr>
          <w:p w14:paraId="18B5ED4D">
            <w:pPr>
              <w:spacing w:line="400" w:lineRule="exact"/>
              <w:jc w:val="left"/>
              <w:rPr>
                <w:rFonts w:ascii="Times New Roman" w:hAnsi="Times New Roman" w:cs="仿宋"/>
                <w:color w:val="auto"/>
                <w:sz w:val="24"/>
                <w:szCs w:val="24"/>
                <w:highlight w:val="none"/>
              </w:rPr>
            </w:pPr>
            <w:r>
              <w:rPr>
                <w:rFonts w:hint="eastAsia" w:ascii="Times New Roman" w:hAnsi="Times New Roman" w:cs="仿宋"/>
                <w:color w:val="auto"/>
                <w:sz w:val="24"/>
                <w:szCs w:val="24"/>
                <w:highlight w:val="none"/>
              </w:rPr>
              <w:t>本项目</w:t>
            </w:r>
            <w:bookmarkStart w:id="63" w:name="EB9a5853ee094f4f0ea6ec3169265f6f2c"/>
            <w:r>
              <w:rPr>
                <w:rFonts w:hint="eastAsia" w:ascii="Times New Roman" w:hAnsi="Times New Roman" w:cs="仿宋"/>
                <w:color w:val="auto"/>
                <w:sz w:val="24"/>
                <w:szCs w:val="24"/>
                <w:highlight w:val="none"/>
              </w:rPr>
              <w:t>属性按以下第</w:t>
            </w:r>
            <w:bookmarkEnd w:id="63"/>
            <w:r>
              <w:rPr>
                <w:rFonts w:hint="eastAsia" w:ascii="Times New Roman" w:hAnsi="Times New Roman" w:cs="仿宋"/>
                <w:color w:val="auto"/>
                <w:sz w:val="24"/>
                <w:szCs w:val="24"/>
                <w:highlight w:val="yellow"/>
                <w:u w:val="single"/>
                <w:lang w:val="en-US" w:eastAsia="zh-CN"/>
              </w:rPr>
              <w:t>1</w:t>
            </w:r>
            <w:r>
              <w:rPr>
                <w:rFonts w:hint="eastAsia" w:ascii="Times New Roman" w:hAnsi="Times New Roman" w:cs="仿宋"/>
                <w:color w:val="auto"/>
                <w:sz w:val="24"/>
                <w:szCs w:val="24"/>
                <w:highlight w:val="none"/>
              </w:rPr>
              <w:t>种确定：</w:t>
            </w:r>
          </w:p>
          <w:p w14:paraId="55D17539">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1.货物</w:t>
            </w:r>
            <w:bookmarkStart w:id="64" w:name="EBd5c6c026f9674c39b21b31ecd0c1e7fa"/>
            <w:r>
              <w:rPr>
                <w:rFonts w:hint="eastAsia" w:ascii="Times New Roman" w:hAnsi="Times New Roman" w:cs="仿宋"/>
                <w:color w:val="auto"/>
                <w:sz w:val="24"/>
                <w:szCs w:val="24"/>
                <w:highlight w:val="none"/>
              </w:rPr>
              <w:t>采购；2.</w:t>
            </w:r>
            <w:bookmarkEnd w:id="64"/>
            <w:r>
              <w:rPr>
                <w:rFonts w:hint="eastAsia" w:ascii="Times New Roman" w:hAnsi="Times New Roman" w:cs="仿宋"/>
                <w:color w:val="auto"/>
                <w:sz w:val="24"/>
                <w:szCs w:val="24"/>
                <w:highlight w:val="none"/>
              </w:rPr>
              <w:t>服务</w:t>
            </w:r>
            <w:bookmarkStart w:id="65" w:name="EBf7d2a4f44ecb4166a93ea852e73be69f"/>
            <w:r>
              <w:rPr>
                <w:rFonts w:hint="eastAsia" w:ascii="Times New Roman" w:hAnsi="Times New Roman" w:cs="仿宋"/>
                <w:color w:val="auto"/>
                <w:sz w:val="24"/>
                <w:szCs w:val="24"/>
                <w:highlight w:val="none"/>
              </w:rPr>
              <w:t>采购；3.</w:t>
            </w:r>
            <w:bookmarkEnd w:id="65"/>
            <w:r>
              <w:rPr>
                <w:rFonts w:hint="eastAsia" w:ascii="Times New Roman" w:hAnsi="Times New Roman" w:cs="仿宋"/>
                <w:color w:val="auto"/>
                <w:sz w:val="24"/>
                <w:szCs w:val="24"/>
                <w:highlight w:val="none"/>
              </w:rPr>
              <w:t>工程采购。</w:t>
            </w:r>
          </w:p>
        </w:tc>
      </w:tr>
      <w:tr w14:paraId="65D9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4F7846C3">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w:t>
            </w:r>
          </w:p>
        </w:tc>
        <w:tc>
          <w:tcPr>
            <w:tcW w:w="1772" w:type="dxa"/>
            <w:tcBorders>
              <w:top w:val="single" w:color="auto" w:sz="4" w:space="0"/>
              <w:left w:val="nil"/>
              <w:bottom w:val="single" w:color="auto" w:sz="4" w:space="0"/>
              <w:right w:val="single" w:color="auto" w:sz="4" w:space="0"/>
            </w:tcBorders>
            <w:noWrap w:val="0"/>
            <w:vAlign w:val="center"/>
          </w:tcPr>
          <w:p w14:paraId="1D8727D9">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投标有效期</w:t>
            </w:r>
          </w:p>
        </w:tc>
        <w:tc>
          <w:tcPr>
            <w:tcW w:w="6579" w:type="dxa"/>
            <w:tcBorders>
              <w:top w:val="single" w:color="auto" w:sz="4" w:space="0"/>
              <w:left w:val="nil"/>
              <w:bottom w:val="single" w:color="auto" w:sz="4" w:space="0"/>
              <w:right w:val="single" w:color="auto" w:sz="4" w:space="0"/>
            </w:tcBorders>
            <w:noWrap w:val="0"/>
            <w:vAlign w:val="center"/>
          </w:tcPr>
          <w:p w14:paraId="3F88A8CE">
            <w:pPr>
              <w:spacing w:line="400" w:lineRule="exact"/>
              <w:jc w:val="left"/>
              <w:rPr>
                <w:rFonts w:hint="eastAsia" w:ascii="Times New Roman" w:hAnsi="Times New Roman" w:cs="仿宋"/>
                <w:color w:val="auto"/>
                <w:sz w:val="24"/>
                <w:szCs w:val="24"/>
                <w:highlight w:val="none"/>
              </w:rPr>
            </w:pPr>
            <w:bookmarkStart w:id="66" w:name="EBd40b5fb42f2944a3b45e579ce3941f02"/>
            <w:bookmarkEnd w:id="66"/>
            <w:r>
              <w:rPr>
                <w:rFonts w:hint="eastAsia" w:ascii="Times New Roman" w:hAnsi="Times New Roman" w:cs="仿宋"/>
                <w:color w:val="auto"/>
                <w:sz w:val="24"/>
                <w:szCs w:val="24"/>
                <w:highlight w:val="none"/>
              </w:rPr>
              <w:t>60日（从提交投标文件截止之日起算）</w:t>
            </w:r>
          </w:p>
        </w:tc>
      </w:tr>
      <w:tr w14:paraId="3AC7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75645816">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3</w:t>
            </w:r>
          </w:p>
        </w:tc>
        <w:tc>
          <w:tcPr>
            <w:tcW w:w="1772" w:type="dxa"/>
            <w:tcBorders>
              <w:top w:val="single" w:color="auto" w:sz="4" w:space="0"/>
              <w:left w:val="nil"/>
              <w:bottom w:val="single" w:color="auto" w:sz="4" w:space="0"/>
              <w:right w:val="single" w:color="auto" w:sz="4" w:space="0"/>
            </w:tcBorders>
            <w:noWrap w:val="0"/>
            <w:vAlign w:val="center"/>
          </w:tcPr>
          <w:p w14:paraId="40AC5420">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投标文件份数</w:t>
            </w:r>
          </w:p>
        </w:tc>
        <w:tc>
          <w:tcPr>
            <w:tcW w:w="6579" w:type="dxa"/>
            <w:tcBorders>
              <w:top w:val="single" w:color="auto" w:sz="4" w:space="0"/>
              <w:left w:val="nil"/>
              <w:bottom w:val="single" w:color="auto" w:sz="4" w:space="0"/>
              <w:right w:val="single" w:color="auto" w:sz="4" w:space="0"/>
            </w:tcBorders>
            <w:noWrap w:val="0"/>
            <w:vAlign w:val="center"/>
          </w:tcPr>
          <w:p w14:paraId="391B07A2">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提交加密电子投标文件</w:t>
            </w:r>
            <w:r>
              <w:rPr>
                <w:rFonts w:hint="eastAsia" w:ascii="Times New Roman" w:hAnsi="Times New Roman" w:cs="仿宋"/>
                <w:color w:val="auto"/>
                <w:sz w:val="24"/>
                <w:szCs w:val="24"/>
                <w:highlight w:val="none"/>
                <w:u w:val="single"/>
              </w:rPr>
              <w:t>1</w:t>
            </w:r>
            <w:r>
              <w:rPr>
                <w:rFonts w:hint="eastAsia" w:ascii="Times New Roman" w:hAnsi="Times New Roman" w:cs="仿宋"/>
                <w:color w:val="auto"/>
                <w:sz w:val="24"/>
                <w:szCs w:val="24"/>
                <w:highlight w:val="none"/>
              </w:rPr>
              <w:t>份。</w:t>
            </w:r>
          </w:p>
        </w:tc>
      </w:tr>
      <w:tr w14:paraId="194A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5CEABB54">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4</w:t>
            </w:r>
          </w:p>
        </w:tc>
        <w:tc>
          <w:tcPr>
            <w:tcW w:w="1772" w:type="dxa"/>
            <w:tcBorders>
              <w:top w:val="single" w:color="auto" w:sz="4" w:space="0"/>
              <w:left w:val="nil"/>
              <w:bottom w:val="single" w:color="auto" w:sz="4" w:space="0"/>
              <w:right w:val="single" w:color="auto" w:sz="4" w:space="0"/>
            </w:tcBorders>
            <w:noWrap w:val="0"/>
            <w:vAlign w:val="center"/>
          </w:tcPr>
          <w:p w14:paraId="2CD2684E">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开标</w:t>
            </w:r>
          </w:p>
        </w:tc>
        <w:tc>
          <w:tcPr>
            <w:tcW w:w="6579" w:type="dxa"/>
            <w:tcBorders>
              <w:top w:val="single" w:color="auto" w:sz="4" w:space="0"/>
              <w:left w:val="nil"/>
              <w:bottom w:val="single" w:color="auto" w:sz="4" w:space="0"/>
              <w:right w:val="single" w:color="auto" w:sz="4" w:space="0"/>
            </w:tcBorders>
            <w:noWrap w:val="0"/>
            <w:vAlign w:val="center"/>
          </w:tcPr>
          <w:p w14:paraId="4F28D4B0">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“苏采云”政府采购交易系统网上开标大厅进行不见面开标。</w:t>
            </w:r>
          </w:p>
        </w:tc>
      </w:tr>
      <w:tr w14:paraId="1219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8" w:type="dxa"/>
            <w:tcBorders>
              <w:top w:val="single" w:color="auto" w:sz="4" w:space="0"/>
              <w:left w:val="single" w:color="auto" w:sz="4" w:space="0"/>
              <w:bottom w:val="single" w:color="auto" w:sz="4" w:space="0"/>
              <w:right w:val="single" w:color="auto" w:sz="4" w:space="0"/>
            </w:tcBorders>
            <w:noWrap w:val="0"/>
            <w:vAlign w:val="center"/>
          </w:tcPr>
          <w:p w14:paraId="30C94ACC">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5</w:t>
            </w:r>
          </w:p>
        </w:tc>
        <w:tc>
          <w:tcPr>
            <w:tcW w:w="1772" w:type="dxa"/>
            <w:tcBorders>
              <w:top w:val="single" w:color="auto" w:sz="4" w:space="0"/>
              <w:left w:val="nil"/>
              <w:bottom w:val="single" w:color="auto" w:sz="4" w:space="0"/>
              <w:right w:val="single" w:color="auto" w:sz="4" w:space="0"/>
            </w:tcBorders>
            <w:noWrap w:val="0"/>
            <w:vAlign w:val="center"/>
          </w:tcPr>
          <w:p w14:paraId="419118BE">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进口产品</w:t>
            </w:r>
          </w:p>
        </w:tc>
        <w:tc>
          <w:tcPr>
            <w:tcW w:w="6579" w:type="dxa"/>
            <w:tcBorders>
              <w:top w:val="single" w:color="auto" w:sz="4" w:space="0"/>
              <w:left w:val="nil"/>
              <w:bottom w:val="single" w:color="auto" w:sz="4" w:space="0"/>
              <w:right w:val="single" w:color="auto" w:sz="4" w:space="0"/>
            </w:tcBorders>
            <w:noWrap w:val="0"/>
            <w:vAlign w:val="center"/>
          </w:tcPr>
          <w:p w14:paraId="2979F141">
            <w:pPr>
              <w:spacing w:line="400" w:lineRule="exact"/>
              <w:jc w:val="left"/>
              <w:rPr>
                <w:rFonts w:ascii="Times New Roman" w:hAnsi="Times New Roman" w:cs="仿宋"/>
                <w:color w:val="auto"/>
                <w:sz w:val="24"/>
                <w:szCs w:val="24"/>
                <w:highlight w:val="none"/>
              </w:rPr>
            </w:pPr>
            <w:r>
              <w:rPr>
                <w:rFonts w:hint="eastAsia" w:ascii="Times New Roman" w:hAnsi="Times New Roman" w:cs="仿宋"/>
                <w:color w:val="auto"/>
                <w:sz w:val="24"/>
                <w:szCs w:val="24"/>
                <w:highlight w:val="none"/>
              </w:rPr>
              <w:t>按以下第</w:t>
            </w:r>
            <w:r>
              <w:rPr>
                <w:rFonts w:hint="eastAsia" w:ascii="Times New Roman" w:hAnsi="Times New Roman" w:cs="仿宋"/>
                <w:color w:val="auto"/>
                <w:sz w:val="24"/>
                <w:szCs w:val="24"/>
                <w:highlight w:val="yellow"/>
                <w:u w:val="single"/>
              </w:rPr>
              <w:t>2</w:t>
            </w:r>
            <w:r>
              <w:rPr>
                <w:rFonts w:hint="eastAsia" w:ascii="Times New Roman" w:hAnsi="Times New Roman" w:cs="仿宋"/>
                <w:color w:val="auto"/>
                <w:sz w:val="24"/>
                <w:szCs w:val="24"/>
                <w:highlight w:val="none"/>
              </w:rPr>
              <w:t>种方式确定：</w:t>
            </w:r>
          </w:p>
          <w:p w14:paraId="0B2B5935">
            <w:pPr>
              <w:widowControl/>
              <w:spacing w:line="360" w:lineRule="exact"/>
              <w:jc w:val="left"/>
              <w:rPr>
                <w:rFonts w:ascii="Times New Roman" w:hAnsi="Times New Roman" w:cs="仿宋"/>
                <w:color w:val="auto"/>
                <w:sz w:val="24"/>
                <w:szCs w:val="24"/>
                <w:highlight w:val="none"/>
              </w:rPr>
            </w:pPr>
            <w:r>
              <w:rPr>
                <w:rFonts w:hint="eastAsia" w:ascii="Times New Roman" w:hAnsi="Times New Roman" w:cs="仿宋"/>
                <w:color w:val="auto"/>
                <w:sz w:val="24"/>
                <w:szCs w:val="24"/>
                <w:highlight w:val="none"/>
              </w:rPr>
              <w:t>1.接受进口产品。</w:t>
            </w:r>
            <w:r>
              <w:rPr>
                <w:rFonts w:hint="eastAsia" w:ascii="Times New Roman" w:hAnsi="Times New Roman" w:cs="仿宋"/>
                <w:color w:val="auto"/>
                <w:sz w:val="24"/>
                <w:highlight w:val="none"/>
              </w:rPr>
              <w:t>应当符合《政府采购进口产品管理办法》（财库〔2007〕119号）、《关于政府采购进口产品管理有关问题的通知》（财办库〔2008〕248号）等相关规定</w:t>
            </w:r>
            <w:r>
              <w:rPr>
                <w:rFonts w:hint="eastAsia" w:ascii="Times New Roman" w:hAnsi="Times New Roman" w:cs="仿宋"/>
                <w:color w:val="auto"/>
                <w:sz w:val="24"/>
                <w:szCs w:val="24"/>
                <w:highlight w:val="none"/>
              </w:rPr>
              <w:t>；</w:t>
            </w:r>
          </w:p>
          <w:p w14:paraId="2CCDE296">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2.不接受进口产品。</w:t>
            </w:r>
          </w:p>
        </w:tc>
      </w:tr>
      <w:tr w14:paraId="69B5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33BEA7EB">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6</w:t>
            </w:r>
          </w:p>
        </w:tc>
        <w:tc>
          <w:tcPr>
            <w:tcW w:w="1772" w:type="dxa"/>
            <w:tcBorders>
              <w:top w:val="single" w:color="auto" w:sz="4" w:space="0"/>
              <w:left w:val="nil"/>
              <w:bottom w:val="single" w:color="auto" w:sz="4" w:space="0"/>
              <w:right w:val="single" w:color="auto" w:sz="4" w:space="0"/>
            </w:tcBorders>
            <w:noWrap w:val="0"/>
            <w:vAlign w:val="center"/>
          </w:tcPr>
          <w:p w14:paraId="23C719B8">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评标办法</w:t>
            </w:r>
          </w:p>
        </w:tc>
        <w:tc>
          <w:tcPr>
            <w:tcW w:w="6579" w:type="dxa"/>
            <w:tcBorders>
              <w:top w:val="single" w:color="auto" w:sz="4" w:space="0"/>
              <w:left w:val="nil"/>
              <w:bottom w:val="single" w:color="auto" w:sz="4" w:space="0"/>
              <w:right w:val="single" w:color="auto" w:sz="4" w:space="0"/>
            </w:tcBorders>
            <w:noWrap w:val="0"/>
            <w:vAlign w:val="center"/>
          </w:tcPr>
          <w:p w14:paraId="4560D005">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具体评标办法详见招标文件第三章。</w:t>
            </w:r>
          </w:p>
          <w:p w14:paraId="50FFF1DE">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评标委员会依据招标文件规定的评标办法和标准推荐</w:t>
            </w:r>
            <w:r>
              <w:rPr>
                <w:rFonts w:hint="eastAsia" w:ascii="Times New Roman" w:hAnsi="Times New Roman" w:cs="仿宋"/>
                <w:color w:val="auto"/>
                <w:sz w:val="24"/>
                <w:szCs w:val="24"/>
                <w:highlight w:val="none"/>
                <w:u w:val="single"/>
              </w:rPr>
              <w:t>3</w:t>
            </w:r>
            <w:r>
              <w:rPr>
                <w:rFonts w:hint="eastAsia" w:ascii="Times New Roman" w:hAnsi="Times New Roman" w:cs="仿宋"/>
                <w:color w:val="auto"/>
                <w:sz w:val="24"/>
                <w:szCs w:val="24"/>
                <w:highlight w:val="none"/>
              </w:rPr>
              <w:t>名中标候选人。</w:t>
            </w:r>
          </w:p>
        </w:tc>
      </w:tr>
      <w:tr w14:paraId="025F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35D8002B">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7</w:t>
            </w:r>
          </w:p>
        </w:tc>
        <w:tc>
          <w:tcPr>
            <w:tcW w:w="1772" w:type="dxa"/>
            <w:tcBorders>
              <w:top w:val="single" w:color="auto" w:sz="4" w:space="0"/>
              <w:left w:val="nil"/>
              <w:bottom w:val="single" w:color="auto" w:sz="4" w:space="0"/>
              <w:right w:val="single" w:color="auto" w:sz="4" w:space="0"/>
            </w:tcBorders>
            <w:noWrap w:val="0"/>
            <w:vAlign w:val="center"/>
          </w:tcPr>
          <w:p w14:paraId="0BC756EF">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确定中标人</w:t>
            </w:r>
          </w:p>
        </w:tc>
        <w:tc>
          <w:tcPr>
            <w:tcW w:w="6579" w:type="dxa"/>
            <w:tcBorders>
              <w:top w:val="single" w:color="auto" w:sz="4" w:space="0"/>
              <w:left w:val="nil"/>
              <w:bottom w:val="single" w:color="auto" w:sz="4" w:space="0"/>
              <w:right w:val="single" w:color="auto" w:sz="4" w:space="0"/>
            </w:tcBorders>
            <w:noWrap w:val="0"/>
            <w:vAlign w:val="center"/>
          </w:tcPr>
          <w:p w14:paraId="437C6A7D">
            <w:pPr>
              <w:spacing w:line="400" w:lineRule="exact"/>
              <w:jc w:val="left"/>
              <w:rPr>
                <w:rFonts w:ascii="Times New Roman" w:hAnsi="Times New Roman" w:cs="仿宋"/>
                <w:color w:val="auto"/>
                <w:sz w:val="24"/>
                <w:szCs w:val="24"/>
                <w:highlight w:val="none"/>
              </w:rPr>
            </w:pPr>
            <w:r>
              <w:rPr>
                <w:rFonts w:hint="eastAsia" w:ascii="Times New Roman" w:hAnsi="Times New Roman" w:cs="仿宋"/>
                <w:color w:val="auto"/>
                <w:sz w:val="24"/>
                <w:szCs w:val="24"/>
                <w:highlight w:val="none"/>
              </w:rPr>
              <w:t>按以下第</w:t>
            </w:r>
            <w:r>
              <w:rPr>
                <w:rFonts w:hint="eastAsia" w:ascii="Times New Roman" w:hAnsi="Times New Roman" w:cs="仿宋"/>
                <w:color w:val="auto"/>
                <w:sz w:val="24"/>
                <w:szCs w:val="24"/>
                <w:highlight w:val="yellow"/>
                <w:u w:val="single"/>
              </w:rPr>
              <w:t>2</w:t>
            </w:r>
            <w:r>
              <w:rPr>
                <w:rFonts w:hint="eastAsia" w:ascii="Times New Roman" w:hAnsi="Times New Roman" w:cs="仿宋"/>
                <w:color w:val="auto"/>
                <w:sz w:val="24"/>
                <w:szCs w:val="24"/>
                <w:highlight w:val="none"/>
              </w:rPr>
              <w:t>种方式确定中标人：</w:t>
            </w:r>
          </w:p>
          <w:p w14:paraId="283BB13E">
            <w:pPr>
              <w:spacing w:line="400" w:lineRule="exact"/>
              <w:jc w:val="left"/>
              <w:rPr>
                <w:rFonts w:ascii="Times New Roman" w:hAnsi="Times New Roman" w:cs="仿宋"/>
                <w:color w:val="auto"/>
                <w:sz w:val="24"/>
                <w:szCs w:val="24"/>
                <w:highlight w:val="none"/>
              </w:rPr>
            </w:pPr>
            <w:r>
              <w:rPr>
                <w:rFonts w:hint="eastAsia" w:ascii="Times New Roman" w:hAnsi="Times New Roman" w:cs="仿宋"/>
                <w:color w:val="auto"/>
                <w:sz w:val="24"/>
                <w:szCs w:val="24"/>
                <w:highlight w:val="none"/>
              </w:rPr>
              <w:t>1.采购人按规定在评标委员会推荐的中标候选人中确定中标人；</w:t>
            </w:r>
          </w:p>
          <w:p w14:paraId="409CB887">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2.采购人授权评标委员会直接确定中标人。</w:t>
            </w:r>
          </w:p>
        </w:tc>
      </w:tr>
      <w:tr w14:paraId="1A5D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02BD8737">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8</w:t>
            </w:r>
          </w:p>
        </w:tc>
        <w:tc>
          <w:tcPr>
            <w:tcW w:w="1772" w:type="dxa"/>
            <w:tcBorders>
              <w:top w:val="single" w:color="auto" w:sz="4" w:space="0"/>
              <w:left w:val="nil"/>
              <w:bottom w:val="single" w:color="auto" w:sz="4" w:space="0"/>
              <w:right w:val="single" w:color="auto" w:sz="4" w:space="0"/>
            </w:tcBorders>
            <w:noWrap w:val="0"/>
            <w:vAlign w:val="center"/>
          </w:tcPr>
          <w:p w14:paraId="53439F1F">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分包要求</w:t>
            </w:r>
          </w:p>
        </w:tc>
        <w:tc>
          <w:tcPr>
            <w:tcW w:w="6579" w:type="dxa"/>
            <w:tcBorders>
              <w:top w:val="single" w:color="auto" w:sz="4" w:space="0"/>
              <w:left w:val="nil"/>
              <w:bottom w:val="single" w:color="auto" w:sz="4" w:space="0"/>
              <w:right w:val="single" w:color="auto" w:sz="4" w:space="0"/>
            </w:tcBorders>
            <w:noWrap w:val="0"/>
            <w:vAlign w:val="center"/>
          </w:tcPr>
          <w:p w14:paraId="522DD984">
            <w:pPr>
              <w:spacing w:line="400" w:lineRule="exact"/>
              <w:jc w:val="left"/>
              <w:rPr>
                <w:rFonts w:hint="eastAsia" w:ascii="Times New Roman" w:hAnsi="Times New Roman" w:cs="仿宋"/>
                <w:color w:val="auto"/>
                <w:sz w:val="24"/>
                <w:szCs w:val="24"/>
                <w:highlight w:val="none"/>
              </w:rPr>
            </w:pPr>
            <w:bookmarkStart w:id="67" w:name="EBebac1462c5d9459fbda8a75065c2455d"/>
            <w:r>
              <w:rPr>
                <w:rFonts w:hint="eastAsia" w:ascii="Times New Roman" w:hAnsi="Times New Roman" w:cs="仿宋"/>
                <w:color w:val="auto"/>
                <w:sz w:val="24"/>
                <w:szCs w:val="24"/>
                <w:highlight w:val="none"/>
              </w:rPr>
              <w:t>本项目的非主体、非关键性工作是否允许分包</w:t>
            </w:r>
            <w:bookmarkEnd w:id="67"/>
            <w:r>
              <w:rPr>
                <w:rFonts w:hint="eastAsia" w:ascii="Times New Roman" w:hAnsi="Times New Roman" w:cs="仿宋"/>
                <w:color w:val="auto"/>
                <w:sz w:val="24"/>
                <w:szCs w:val="24"/>
                <w:highlight w:val="none"/>
              </w:rPr>
              <w:t>按以下第</w:t>
            </w:r>
            <w:r>
              <w:rPr>
                <w:rFonts w:hint="eastAsia" w:ascii="Times New Roman" w:hAnsi="Times New Roman" w:cs="仿宋"/>
                <w:color w:val="auto"/>
                <w:sz w:val="24"/>
                <w:szCs w:val="24"/>
                <w:highlight w:val="yellow"/>
                <w:u w:val="single"/>
              </w:rPr>
              <w:t>  2 </w:t>
            </w:r>
            <w:r>
              <w:rPr>
                <w:rFonts w:hint="eastAsia" w:ascii="Times New Roman" w:hAnsi="Times New Roman" w:cs="仿宋"/>
                <w:color w:val="auto"/>
                <w:sz w:val="24"/>
                <w:szCs w:val="24"/>
                <w:highlight w:val="none"/>
                <w:u w:val="single"/>
              </w:rPr>
              <w:t> </w:t>
            </w:r>
            <w:r>
              <w:rPr>
                <w:rFonts w:hint="eastAsia" w:ascii="Times New Roman" w:hAnsi="Times New Roman" w:cs="仿宋"/>
                <w:color w:val="auto"/>
                <w:sz w:val="24"/>
                <w:szCs w:val="24"/>
                <w:highlight w:val="none"/>
              </w:rPr>
              <w:t>种方式确定：</w:t>
            </w:r>
          </w:p>
          <w:p w14:paraId="6EA59F2F">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1.允许分包，</w:t>
            </w:r>
            <w:bookmarkStart w:id="68" w:name="EB512ba06683724173802e2aae54a26079"/>
            <w:r>
              <w:rPr>
                <w:rFonts w:hint="eastAsia" w:ascii="Times New Roman" w:hAnsi="Times New Roman" w:cs="仿宋"/>
                <w:color w:val="auto"/>
                <w:sz w:val="24"/>
                <w:szCs w:val="24"/>
                <w:highlight w:val="none"/>
              </w:rPr>
              <w:t>允许大中型企业向一家或者多家小微企业分包，分包具体内容、金额或比例：</w:t>
            </w:r>
            <w:bookmarkEnd w:id="68"/>
            <w:r>
              <w:rPr>
                <w:rFonts w:hint="eastAsia" w:ascii="Times New Roman" w:hAnsi="Times New Roman" w:cs="仿宋"/>
                <w:color w:val="auto"/>
                <w:sz w:val="24"/>
                <w:szCs w:val="24"/>
                <w:highlight w:val="none"/>
              </w:rPr>
              <w:t>无</w:t>
            </w:r>
          </w:p>
          <w:p w14:paraId="0352593F">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2.不允许分包。</w:t>
            </w:r>
          </w:p>
        </w:tc>
      </w:tr>
      <w:tr w14:paraId="4172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4903B58F">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9</w:t>
            </w:r>
          </w:p>
        </w:tc>
        <w:tc>
          <w:tcPr>
            <w:tcW w:w="1772" w:type="dxa"/>
            <w:tcBorders>
              <w:top w:val="single" w:color="auto" w:sz="4" w:space="0"/>
              <w:left w:val="nil"/>
              <w:bottom w:val="single" w:color="auto" w:sz="4" w:space="0"/>
              <w:right w:val="single" w:color="auto" w:sz="4" w:space="0"/>
            </w:tcBorders>
            <w:noWrap w:val="0"/>
            <w:vAlign w:val="center"/>
          </w:tcPr>
          <w:p w14:paraId="3F1F3D50">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代理费用收取方式及标准</w:t>
            </w:r>
          </w:p>
        </w:tc>
        <w:tc>
          <w:tcPr>
            <w:tcW w:w="6579" w:type="dxa"/>
            <w:tcBorders>
              <w:top w:val="single" w:color="auto" w:sz="4" w:space="0"/>
              <w:left w:val="nil"/>
              <w:bottom w:val="single" w:color="auto" w:sz="4" w:space="0"/>
              <w:right w:val="single" w:color="auto" w:sz="4" w:space="0"/>
            </w:tcBorders>
            <w:noWrap w:val="0"/>
            <w:vAlign w:val="center"/>
          </w:tcPr>
          <w:p w14:paraId="63602EDF">
            <w:pPr>
              <w:spacing w:line="400" w:lineRule="exact"/>
              <w:jc w:val="left"/>
              <w:rPr>
                <w:rFonts w:hint="eastAsia" w:ascii="Times New Roman" w:hAnsi="Times New Roman" w:cs="仿宋"/>
                <w:color w:val="auto"/>
                <w:sz w:val="24"/>
                <w:szCs w:val="24"/>
                <w:highlight w:val="none"/>
              </w:rPr>
            </w:pPr>
            <w:bookmarkStart w:id="69" w:name="EBfe735bb6fc4d4e5e9e350f940db98c5f"/>
            <w:bookmarkEnd w:id="69"/>
            <w:r>
              <w:rPr>
                <w:rFonts w:hint="eastAsia" w:ascii="Times New Roman" w:hAnsi="Times New Roman" w:cs="仿宋"/>
                <w:color w:val="auto"/>
                <w:sz w:val="24"/>
                <w:szCs w:val="24"/>
                <w:highlight w:val="none"/>
                <w:lang w:val="en-US" w:eastAsia="zh-CN"/>
              </w:rPr>
              <w:t>采购人</w:t>
            </w:r>
            <w:r>
              <w:rPr>
                <w:rFonts w:hint="eastAsia" w:ascii="Times New Roman" w:hAnsi="Times New Roman" w:cs="仿宋"/>
                <w:color w:val="auto"/>
                <w:sz w:val="24"/>
                <w:szCs w:val="24"/>
                <w:highlight w:val="none"/>
              </w:rPr>
              <w:t>按照“苏招协</w:t>
            </w:r>
            <w:r>
              <w:rPr>
                <w:rFonts w:hint="eastAsia" w:ascii="Times New Roman" w:hAnsi="Times New Roman" w:cs="仿宋"/>
                <w:color w:val="auto"/>
                <w:sz w:val="24"/>
                <w:szCs w:val="24"/>
                <w:highlight w:val="none"/>
                <w:lang w:eastAsia="zh-CN"/>
              </w:rPr>
              <w:t>〔2022〕2号</w:t>
            </w:r>
            <w:r>
              <w:rPr>
                <w:rFonts w:hint="eastAsia" w:ascii="Times New Roman" w:hAnsi="Times New Roman" w:cs="仿宋"/>
                <w:color w:val="auto"/>
                <w:sz w:val="24"/>
                <w:szCs w:val="24"/>
                <w:highlight w:val="none"/>
              </w:rPr>
              <w:t>”文件规定向招标代理机构支付。（可采用数字人民币方式）。</w:t>
            </w:r>
          </w:p>
        </w:tc>
      </w:tr>
      <w:tr w14:paraId="3C6B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8" w:type="dxa"/>
            <w:tcBorders>
              <w:top w:val="single" w:color="auto" w:sz="4" w:space="0"/>
              <w:left w:val="single" w:color="auto" w:sz="4" w:space="0"/>
              <w:bottom w:val="single" w:color="auto" w:sz="4" w:space="0"/>
              <w:right w:val="single" w:color="auto" w:sz="4" w:space="0"/>
            </w:tcBorders>
            <w:noWrap w:val="0"/>
            <w:vAlign w:val="center"/>
          </w:tcPr>
          <w:p w14:paraId="37A4CC3C">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10</w:t>
            </w:r>
          </w:p>
        </w:tc>
        <w:tc>
          <w:tcPr>
            <w:tcW w:w="1772" w:type="dxa"/>
            <w:tcBorders>
              <w:top w:val="single" w:color="auto" w:sz="4" w:space="0"/>
              <w:left w:val="nil"/>
              <w:bottom w:val="single" w:color="auto" w:sz="4" w:space="0"/>
              <w:right w:val="single" w:color="auto" w:sz="4" w:space="0"/>
            </w:tcBorders>
            <w:noWrap w:val="0"/>
            <w:vAlign w:val="center"/>
          </w:tcPr>
          <w:p w14:paraId="1D1D36A6">
            <w:pPr>
              <w:spacing w:line="400" w:lineRule="exact"/>
              <w:jc w:val="center"/>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其他</w:t>
            </w:r>
            <w:bookmarkEnd w:id="60"/>
            <w:bookmarkEnd w:id="61"/>
            <w:bookmarkEnd w:id="62"/>
          </w:p>
        </w:tc>
        <w:tc>
          <w:tcPr>
            <w:tcW w:w="6579" w:type="dxa"/>
            <w:tcBorders>
              <w:top w:val="single" w:color="auto" w:sz="4" w:space="0"/>
              <w:left w:val="nil"/>
              <w:bottom w:val="single" w:color="auto" w:sz="4" w:space="0"/>
              <w:right w:val="single" w:color="auto" w:sz="4" w:space="0"/>
            </w:tcBorders>
            <w:noWrap w:val="0"/>
            <w:vAlign w:val="center"/>
          </w:tcPr>
          <w:p w14:paraId="794E2062">
            <w:pPr>
              <w:spacing w:line="400" w:lineRule="exact"/>
              <w:jc w:val="left"/>
              <w:rPr>
                <w:rFonts w:hint="eastAsia" w:ascii="Times New Roman" w:hAnsi="Times New Roman" w:cs="仿宋"/>
                <w:color w:val="auto"/>
                <w:sz w:val="24"/>
                <w:szCs w:val="24"/>
                <w:highlight w:val="none"/>
              </w:rPr>
            </w:pPr>
            <w:r>
              <w:rPr>
                <w:rFonts w:hint="eastAsia" w:ascii="Times New Roman" w:hAnsi="Times New Roman" w:cs="仿宋"/>
                <w:color w:val="auto"/>
                <w:sz w:val="24"/>
                <w:szCs w:val="24"/>
                <w:highlight w:val="none"/>
              </w:rPr>
              <w:t>信用信息查询截止时间：资格审查结束前。由采购人在资格审查现场查询信用信息，网页截屏打印，查询结果留存并归档。</w:t>
            </w:r>
          </w:p>
        </w:tc>
      </w:tr>
    </w:tbl>
    <w:p w14:paraId="38987025">
      <w:pPr>
        <w:rPr>
          <w:color w:val="auto"/>
          <w:sz w:val="20"/>
          <w:highlight w:val="none"/>
        </w:rPr>
      </w:pPr>
    </w:p>
    <w:p w14:paraId="4F008516">
      <w:pPr>
        <w:pStyle w:val="3"/>
        <w:spacing w:before="0" w:after="0" w:line="480" w:lineRule="exact"/>
        <w:ind w:firstLine="321" w:firstLineChars="100"/>
        <w:rPr>
          <w:rFonts w:hint="eastAsia" w:eastAsia="宋体" w:cs="Arial"/>
          <w:bCs/>
          <w:color w:val="auto"/>
          <w:szCs w:val="22"/>
          <w:highlight w:val="none"/>
        </w:rPr>
      </w:pPr>
      <w:bookmarkStart w:id="70" w:name="EB6eaaf474639940df900ef4965d71f450"/>
      <w:bookmarkEnd w:id="70"/>
      <w:bookmarkStart w:id="71" w:name="_Toc8239"/>
      <w:bookmarkStart w:id="72" w:name="_Toc81575192"/>
      <w:bookmarkStart w:id="73" w:name="_Toc81575155"/>
      <w:bookmarkStart w:id="74" w:name="_Toc30953"/>
      <w:r>
        <w:rPr>
          <w:rFonts w:hint="eastAsia" w:eastAsia="宋体" w:cs="Arial"/>
          <w:bCs/>
          <w:color w:val="auto"/>
          <w:szCs w:val="22"/>
          <w:highlight w:val="none"/>
        </w:rPr>
        <w:t>一、总 则</w:t>
      </w:r>
      <w:bookmarkEnd w:id="71"/>
      <w:bookmarkEnd w:id="72"/>
      <w:bookmarkEnd w:id="73"/>
      <w:bookmarkEnd w:id="74"/>
    </w:p>
    <w:p w14:paraId="4095B8F8">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1、招标方式</w:t>
      </w:r>
    </w:p>
    <w:p w14:paraId="3AF0674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本次采购采取公开招标方式。</w:t>
      </w:r>
    </w:p>
    <w:p w14:paraId="291862AE">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2、合格的投标人</w:t>
      </w:r>
    </w:p>
    <w:p w14:paraId="551452A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2.1合格的投标人必须符合招标文件第一章《投标邀请》第二条及投标人须知前附表相关规定，且具备完成本项目的能力，中标后不允许转包。</w:t>
      </w:r>
    </w:p>
    <w:p w14:paraId="283C47B2">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2.2满足本文件实质性要求的规定。</w:t>
      </w:r>
    </w:p>
    <w:p w14:paraId="241DDAF7">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3、适用法律</w:t>
      </w:r>
    </w:p>
    <w:p w14:paraId="5F3D05A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本次招标及由招标产生的合同受中华人民共和国的相关法律、法规制约和保护。</w:t>
      </w:r>
    </w:p>
    <w:p w14:paraId="418D8626">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4、投标费用</w:t>
      </w:r>
    </w:p>
    <w:p w14:paraId="024AD940">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投标人应自行承担所有参加投标有关的费用。</w:t>
      </w:r>
    </w:p>
    <w:p w14:paraId="374880CE">
      <w:pPr>
        <w:pStyle w:val="3"/>
        <w:spacing w:before="0" w:after="0" w:line="480" w:lineRule="exact"/>
        <w:ind w:firstLine="321" w:firstLineChars="100"/>
        <w:rPr>
          <w:rFonts w:hint="eastAsia" w:eastAsia="宋体" w:cs="Arial"/>
          <w:bCs/>
          <w:color w:val="auto"/>
          <w:szCs w:val="22"/>
          <w:highlight w:val="none"/>
        </w:rPr>
      </w:pPr>
      <w:bookmarkStart w:id="75" w:name="_Toc15995"/>
      <w:bookmarkStart w:id="76" w:name="_Toc81575193"/>
      <w:bookmarkStart w:id="77" w:name="_Toc81575156"/>
      <w:bookmarkStart w:id="78" w:name="_Toc29306"/>
      <w:r>
        <w:rPr>
          <w:rFonts w:hint="eastAsia" w:eastAsia="宋体" w:cs="Arial"/>
          <w:bCs/>
          <w:color w:val="auto"/>
          <w:szCs w:val="22"/>
          <w:highlight w:val="none"/>
        </w:rPr>
        <w:t>二、招标文件</w:t>
      </w:r>
      <w:bookmarkEnd w:id="75"/>
      <w:bookmarkEnd w:id="76"/>
      <w:bookmarkEnd w:id="77"/>
      <w:bookmarkEnd w:id="78"/>
    </w:p>
    <w:p w14:paraId="44124923">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5、招标文件构成</w:t>
      </w:r>
    </w:p>
    <w:p w14:paraId="11F2C7E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5.1招标文件由以下部分组成：</w:t>
      </w:r>
    </w:p>
    <w:p w14:paraId="3A888F3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第一章：投标邀请；</w:t>
      </w:r>
    </w:p>
    <w:p w14:paraId="08190E3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第二章：投标人须知；</w:t>
      </w:r>
    </w:p>
    <w:p w14:paraId="364BFBFD">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第三章：资格审查及评标办法；</w:t>
      </w:r>
    </w:p>
    <w:p w14:paraId="627F2A0F">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第四章：采购需求；</w:t>
      </w:r>
    </w:p>
    <w:p w14:paraId="6ECC3D8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第五章：合同文本；</w:t>
      </w:r>
    </w:p>
    <w:p w14:paraId="4DE85C2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第六章：投标文件格式。</w:t>
      </w:r>
    </w:p>
    <w:p w14:paraId="39FDE22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请仔细检查招标文件是否齐全，如有缺漏请立即与代理机构联系解决。</w:t>
      </w:r>
    </w:p>
    <w:p w14:paraId="4894C6B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5.2投标人应认真阅读招标文件中所有的事项、格式、条款和规范等要求，按招标文件要求和规定编制投标文件，并保证所提供的全部资料的真实性，以使其投标文件对招标文件作出实质性响应，否则风险由投标人自行承担。</w:t>
      </w:r>
    </w:p>
    <w:p w14:paraId="6700BC3F">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6、政府采购政策功能落实</w:t>
      </w:r>
    </w:p>
    <w:p w14:paraId="1E91EFF3">
      <w:pPr>
        <w:spacing w:line="480" w:lineRule="exact"/>
        <w:ind w:firstLine="482" w:firstLineChars="200"/>
        <w:rPr>
          <w:rFonts w:hint="eastAsia" w:ascii="Times New Roman" w:hAnsi="Times New Roman" w:eastAsia="宋体" w:cs="仿宋"/>
          <w:b/>
          <w:bCs/>
          <w:color w:val="auto"/>
          <w:sz w:val="24"/>
          <w:highlight w:val="none"/>
          <w:u w:val="single"/>
          <w:lang w:eastAsia="zh-CN"/>
        </w:rPr>
      </w:pPr>
      <w:r>
        <w:rPr>
          <w:rFonts w:hint="eastAsia" w:ascii="Times New Roman" w:hAnsi="Times New Roman" w:cs="仿宋"/>
          <w:b/>
          <w:bCs/>
          <w:color w:val="auto"/>
          <w:sz w:val="24"/>
          <w:highlight w:val="none"/>
        </w:rPr>
        <w:t>本项目落实的政府采购政策对应序号为</w:t>
      </w:r>
      <w:r>
        <w:rPr>
          <w:rFonts w:hint="eastAsia" w:ascii="Times New Roman" w:hAnsi="Times New Roman" w:cs="仿宋"/>
          <w:b/>
          <w:bCs/>
          <w:color w:val="auto"/>
          <w:sz w:val="24"/>
          <w:highlight w:val="yellow"/>
          <w:u w:val="single"/>
          <w:lang w:val="en-US" w:eastAsia="zh-CN"/>
        </w:rPr>
        <w:t>1</w:t>
      </w:r>
    </w:p>
    <w:p w14:paraId="24AC1509">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6.1中小企业政策</w:t>
      </w:r>
    </w:p>
    <w:p w14:paraId="77D7D480">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本项目按第</w:t>
      </w:r>
      <w:r>
        <w:rPr>
          <w:rFonts w:hint="eastAsia" w:ascii="Times New Roman" w:hAnsi="Times New Roman" w:cs="仿宋"/>
          <w:color w:val="FF0000"/>
          <w:sz w:val="24"/>
          <w:highlight w:val="yellow"/>
          <w:u w:val="single"/>
        </w:rPr>
        <w:t>（</w:t>
      </w:r>
      <w:r>
        <w:rPr>
          <w:rFonts w:hint="eastAsia" w:ascii="Times New Roman" w:hAnsi="Times New Roman" w:cs="仿宋"/>
          <w:color w:val="FF0000"/>
          <w:sz w:val="24"/>
          <w:highlight w:val="yellow"/>
          <w:u w:val="single"/>
          <w:lang w:val="en-US" w:eastAsia="zh-CN"/>
        </w:rPr>
        <w:t>1</w:t>
      </w:r>
      <w:r>
        <w:rPr>
          <w:rFonts w:hint="eastAsia" w:ascii="Times New Roman" w:hAnsi="Times New Roman" w:cs="仿宋"/>
          <w:color w:val="FF0000"/>
          <w:sz w:val="24"/>
          <w:highlight w:val="yellow"/>
          <w:u w:val="single"/>
        </w:rPr>
        <w:t>）</w:t>
      </w:r>
      <w:r>
        <w:rPr>
          <w:rFonts w:hint="eastAsia" w:ascii="Times New Roman" w:hAnsi="Times New Roman" w:cs="仿宋"/>
          <w:color w:val="FF0000"/>
          <w:sz w:val="24"/>
          <w:highlight w:val="yellow"/>
          <w:u w:val="single"/>
          <w:lang w:eastAsia="zh-CN"/>
        </w:rPr>
        <w:t>项</w:t>
      </w:r>
      <w:r>
        <w:rPr>
          <w:rFonts w:hint="eastAsia" w:ascii="Times New Roman" w:hAnsi="Times New Roman" w:cs="仿宋"/>
          <w:color w:val="auto"/>
          <w:sz w:val="24"/>
          <w:highlight w:val="none"/>
        </w:rPr>
        <w:t>政策落实：</w:t>
      </w:r>
    </w:p>
    <w:p w14:paraId="138683F2">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（1）本项目专门面向中小企业（含监狱与戒毒企业、残疾人福利企业）采购。</w:t>
      </w:r>
    </w:p>
    <w:p w14:paraId="7EC4F697">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（2）对符合规定情形的小微企业报价给予</w:t>
      </w:r>
      <w:r>
        <w:rPr>
          <w:rFonts w:hint="eastAsia" w:ascii="Times New Roman" w:hAnsi="Times New Roman" w:cs="仿宋"/>
          <w:color w:val="FF0000"/>
          <w:sz w:val="24"/>
          <w:highlight w:val="yellow"/>
          <w:u w:val="single"/>
        </w:rPr>
        <w:t>15</w:t>
      </w:r>
      <w:r>
        <w:rPr>
          <w:rFonts w:hint="eastAsia" w:ascii="Times New Roman" w:hAnsi="Times New Roman" w:cs="仿宋"/>
          <w:color w:val="auto"/>
          <w:sz w:val="24"/>
          <w:highlight w:val="yellow"/>
          <w:u w:val="single"/>
        </w:rPr>
        <w:t>%</w:t>
      </w:r>
      <w:r>
        <w:rPr>
          <w:rFonts w:hint="eastAsia" w:ascii="Times New Roman" w:hAnsi="Times New Roman" w:cs="仿宋"/>
          <w:color w:val="auto"/>
          <w:sz w:val="24"/>
          <w:highlight w:val="none"/>
        </w:rPr>
        <w:t>扣除，用扣除后的价格参加评审。</w:t>
      </w:r>
    </w:p>
    <w:p w14:paraId="12EA221F">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在服务采购项目中，服务由中小企业承接，即提供服务的人员为中小企业依照《中华人民共和国劳动合同法》订立劳动合同的从业人员。</w:t>
      </w:r>
    </w:p>
    <w:p w14:paraId="31F2E6B2">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_GB2312"/>
          <w:color w:val="auto"/>
          <w:sz w:val="24"/>
          <w:highlight w:val="none"/>
        </w:rPr>
        <w:t>在货物采购项目中，货物由中小企业制造，即货物由中小企业生产且使用该中小企业商号或者注册商标。</w:t>
      </w:r>
    </w:p>
    <w:p w14:paraId="10B1868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注：①参加投标的中小企业，应当按照《政府采购促进中小企业发展管理办法》（财库〔2020〕46号）规定，出具《中小企业声明函》，中小企业划型依据《关于印发中小企业划型标准规定的通知》（工信部联企业〔2011〕300号）。</w:t>
      </w:r>
    </w:p>
    <w:p w14:paraId="2BA1B770">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②参加投标的监狱企业，视同小型、微型企业。监狱企业应当按照《财政部 司法部关于政府采购支持监狱企业发展有关问题的通知》（财库〔2014〕68号）的规定，提供由省级以上监狱管理局、戒毒管理局(含新疆生产建设兵团)出具的属于监狱企业的证明文件（投标文件中上传加盖出具单位公章的电子件）。</w:t>
      </w:r>
    </w:p>
    <w:p w14:paraId="5B6F3357">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③参加投标的残疾人福利性单位，视同小型、微型企业。残疾人福利性单位应当按照《财政部 民政部 中国残疾人联合会关于促进残疾人就业政府采购政策的通知》（财库〔2017〕141号）的规定，提供《残疾人福利性单位声明函》。</w:t>
      </w:r>
    </w:p>
    <w:p w14:paraId="3BFD8F6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④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Times New Roman" w:hAnsi="Times New Roman" w:cs="仿宋"/>
          <w:color w:val="auto"/>
          <w:sz w:val="24"/>
          <w:highlight w:val="none"/>
          <w:u w:val="single"/>
        </w:rPr>
        <w:t>5</w:t>
      </w:r>
      <w:r>
        <w:rPr>
          <w:rFonts w:hint="eastAsia" w:ascii="Times New Roman" w:hAnsi="Times New Roman" w:cs="仿宋"/>
          <w:color w:val="auto"/>
          <w:sz w:val="24"/>
          <w:highlight w:val="none"/>
        </w:rPr>
        <w:t>%（工程项目为</w:t>
      </w:r>
      <w:r>
        <w:rPr>
          <w:rFonts w:hint="eastAsia" w:ascii="Times New Roman" w:hAnsi="Times New Roman" w:cs="仿宋"/>
          <w:color w:val="auto"/>
          <w:sz w:val="24"/>
          <w:highlight w:val="none"/>
          <w:u w:val="single"/>
        </w:rPr>
        <w:t>2</w:t>
      </w:r>
      <w:r>
        <w:rPr>
          <w:rFonts w:hint="eastAsia" w:ascii="Times New Roman" w:hAnsi="Times New Roman" w:cs="仿宋"/>
          <w:color w:val="auto"/>
          <w:sz w:val="24"/>
          <w:highlight w:val="none"/>
        </w:rPr>
        <w:t>%）的扣除，用扣除后的价格参加评审。（是否接受联合体以“项目基本情况”相关内容为准，是否允许大中型企业向一家或者多家小微企业分包以“须知前附表</w:t>
      </w:r>
      <w:r>
        <w:rPr>
          <w:rFonts w:hint="eastAsia" w:ascii="Times New Roman" w:hAnsi="Times New Roman" w:cs="仿宋"/>
          <w:color w:val="auto"/>
          <w:sz w:val="24"/>
          <w:highlight w:val="none"/>
          <w:lang w:eastAsia="zh-CN"/>
        </w:rPr>
        <w:t>”“</w:t>
      </w:r>
      <w:r>
        <w:rPr>
          <w:rFonts w:hint="eastAsia" w:ascii="Times New Roman" w:hAnsi="Times New Roman" w:cs="仿宋"/>
          <w:color w:val="auto"/>
          <w:sz w:val="24"/>
          <w:highlight w:val="none"/>
        </w:rPr>
        <w:t>采购需求”相关内容为准。）</w:t>
      </w:r>
    </w:p>
    <w:p w14:paraId="2766A08A">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⑤联合体各方均为小型、微型企业（残疾人福利单位、监狱企业）的，联合体享受15%价格扣除，用扣除后的价格参与评审。</w:t>
      </w:r>
    </w:p>
    <w:p w14:paraId="7274B10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6.2节能产品、环境标志产品</w:t>
      </w:r>
    </w:p>
    <w:p w14:paraId="6B2CB2E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拟采购的产品属于品目清单范围的，采购人将依据国家确定的认证机构出具的、处于有效期之内的节能产品、环境标志产品认证证书，对获得证书的产品实施政府优先采购或强制采购。</w:t>
      </w:r>
    </w:p>
    <w:p w14:paraId="3694758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6.2.1拟采购的产品属于政府强制采购的节能产品品目清单范围的，投标人须提供国家确定的认证机构出具的、处于有效期之内的节能产品认证证书，否则其投标文件作无效标处理。</w:t>
      </w:r>
    </w:p>
    <w:p w14:paraId="2D1E914A">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仿宋"/>
          <w:sz w:val="24"/>
        </w:rPr>
      </w:pPr>
      <w:r>
        <w:rPr>
          <w:rFonts w:hint="eastAsia" w:ascii="Times New Roman" w:hAnsi="Times New Roman" w:eastAsia="宋体" w:cs="仿宋"/>
          <w:sz w:val="24"/>
        </w:rPr>
        <w:t>6.2.</w:t>
      </w:r>
      <w:r>
        <w:rPr>
          <w:rFonts w:hint="eastAsia" w:ascii="Times New Roman" w:hAnsi="Times New Roman" w:eastAsia="宋体" w:cs="仿宋"/>
          <w:sz w:val="24"/>
          <w:lang w:val="en-US" w:eastAsia="zh-CN"/>
        </w:rPr>
        <w:t>2</w:t>
      </w:r>
      <w:r>
        <w:rPr>
          <w:rFonts w:hint="eastAsia" w:ascii="Times New Roman" w:hAnsi="Times New Roman" w:eastAsia="宋体" w:cs="仿宋"/>
          <w:sz w:val="24"/>
        </w:rPr>
        <w:t>采购人拟采购的产品属于优先采购的节能环保品目清单范围的，按以下条件优先采购：</w:t>
      </w:r>
    </w:p>
    <w:p w14:paraId="094CB55A">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仿宋"/>
          <w:sz w:val="24"/>
        </w:rPr>
      </w:pPr>
      <w:r>
        <w:rPr>
          <w:rFonts w:hint="eastAsia" w:ascii="Times New Roman" w:hAnsi="Times New Roman" w:eastAsia="宋体" w:cs="仿宋"/>
          <w:sz w:val="24"/>
        </w:rPr>
        <w:t>采用综合评分法的项目，对提供有效节能环保证书的投标人加分。</w:t>
      </w:r>
    </w:p>
    <w:p w14:paraId="0770419D">
      <w:pPr>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eastAsia" w:ascii="Times New Roman" w:hAnsi="Times New Roman" w:eastAsia="宋体" w:cs="仿宋"/>
          <w:sz w:val="24"/>
        </w:rPr>
      </w:pPr>
      <w:r>
        <w:rPr>
          <w:rFonts w:hint="eastAsia" w:ascii="Times New Roman" w:hAnsi="Times New Roman" w:eastAsia="宋体" w:cs="仿宋"/>
          <w:sz w:val="24"/>
        </w:rPr>
        <w:t>采用最低评标价法的项目，同等条件下优先推荐提供有效节能环保证书多的投标人为中标人。</w:t>
      </w:r>
    </w:p>
    <w:p w14:paraId="70BAE69D">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6.3政府采购需求标准</w:t>
      </w:r>
    </w:p>
    <w:p w14:paraId="34B3CCD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6.3.1商品包装、快递包装政府采购需求标准（试行）</w:t>
      </w:r>
    </w:p>
    <w:p w14:paraId="2EDCF39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按照财政部印发的《商品包装政府采购需求标准（试行）》《快递包装政府采购需求标准（试行）》要求执行，本项目商品包装和快递包装的具体需求详见第四章采购需求。</w:t>
      </w:r>
    </w:p>
    <w:p w14:paraId="03EE1302">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6.3.2绿色数据中心政府采购需求标准（试行）</w:t>
      </w:r>
    </w:p>
    <w:p w14:paraId="14E39F6F">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按照财政部 生态环境部 工业和信息化部关于印发《绿色数据中心政府采购需求标准（试行）》的通知）要求执行，本项目绿色数据中心的具体需求详见第四章采购需求。</w:t>
      </w:r>
    </w:p>
    <w:p w14:paraId="251D143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6.3.3绿色建材政府采购需求标准</w:t>
      </w:r>
    </w:p>
    <w:p w14:paraId="70B1471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按照财政部 住房和城乡建设部 工业和信息化部关于印发《关于扩大政府采购支持绿色建材促进建筑品质提升政策实施范围的通知</w:t>
      </w:r>
      <w:r>
        <w:rPr>
          <w:rFonts w:hint="eastAsia" w:ascii="Times New Roman" w:hAnsi="Times New Roman" w:cs="仿宋"/>
          <w:color w:val="auto"/>
          <w:sz w:val="24"/>
          <w:highlight w:val="none"/>
          <w:lang w:eastAsia="zh-CN"/>
        </w:rPr>
        <w:t>》的</w:t>
      </w:r>
      <w:r>
        <w:rPr>
          <w:rFonts w:hint="eastAsia" w:ascii="Times New Roman" w:hAnsi="Times New Roman" w:cs="仿宋"/>
          <w:color w:val="auto"/>
          <w:sz w:val="24"/>
          <w:highlight w:val="none"/>
        </w:rPr>
        <w:t>要求执行，本项目绿色建材的具体需求详见第四章采购需求。</w:t>
      </w:r>
    </w:p>
    <w:p w14:paraId="107D582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6.4采购产品中涉及涂料、胶黏剂、油墨、清洗剂等挥发性有机物产品的，属于强制性标准的，供应商应当提供符合国家和江苏省相关VOCs 含量限制标准的产品。采购产品中涉及通用类货物、家具的，供应商应当优先使用低挥发性原辅材料，采购人将使用低VOCs含量的涂料、胶黏剂等纳入政府采购合同条款的，供应商必须严格执行。</w:t>
      </w:r>
    </w:p>
    <w:p w14:paraId="02AE6A19">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7、招标文件的澄清或修改</w:t>
      </w:r>
    </w:p>
    <w:p w14:paraId="48FECDF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7.1采购人或者采购代理机构可以以更正公告的形式，对已发出的招标文件进行必要的澄清或者修改。澄清或者修改的内容可能影响投标文件编制的，采购人或者采购代理机构应当在投标截止时间前15日前发出；不足15日的，采购人、采购代理机构应当顺延提交投标文件的截止时间。</w:t>
      </w:r>
    </w:p>
    <w:p w14:paraId="68C8B3F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7.2招标文件的澄清、修改将在原公告媒体上发布更正公告，澄清、修改文件均作为招标文件的组成部分，并对投标人具有约束力。</w:t>
      </w:r>
    </w:p>
    <w:p w14:paraId="23B5D6DB">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7.3投标人应及时登录“苏采云”系统获取澄清答疑文件（修改后的招标文件），如投标人未能及时下载澄清答疑文件，造成的相关责任由投标人承担。</w:t>
      </w:r>
    </w:p>
    <w:p w14:paraId="4612D6D6">
      <w:pPr>
        <w:pStyle w:val="3"/>
        <w:spacing w:before="0" w:after="0" w:line="480" w:lineRule="exact"/>
        <w:ind w:firstLine="321" w:firstLineChars="100"/>
        <w:rPr>
          <w:rFonts w:hint="eastAsia" w:eastAsia="宋体" w:cs="Arial"/>
          <w:bCs/>
          <w:color w:val="auto"/>
          <w:szCs w:val="22"/>
          <w:highlight w:val="none"/>
        </w:rPr>
      </w:pPr>
      <w:bookmarkStart w:id="79" w:name="_Toc81575157"/>
      <w:bookmarkStart w:id="80" w:name="_Toc81575194"/>
      <w:bookmarkStart w:id="81" w:name="_Toc5574"/>
      <w:bookmarkStart w:id="82" w:name="_Toc11461"/>
      <w:r>
        <w:rPr>
          <w:rFonts w:hint="eastAsia" w:eastAsia="宋体" w:cs="Arial"/>
          <w:bCs/>
          <w:color w:val="auto"/>
          <w:szCs w:val="22"/>
          <w:highlight w:val="none"/>
        </w:rPr>
        <w:t>三、投标文件的编制</w:t>
      </w:r>
      <w:bookmarkEnd w:id="79"/>
      <w:bookmarkEnd w:id="80"/>
      <w:bookmarkEnd w:id="81"/>
      <w:bookmarkEnd w:id="82"/>
    </w:p>
    <w:p w14:paraId="19685BE0">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8、投标文件的编制要求</w:t>
      </w:r>
    </w:p>
    <w:p w14:paraId="42B0ADFB">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8.1投标人应仔细阅读“招标文件”的所有内容，保证所提供的全部资料的真实性、完整性及有效性，以使其投标对“招标文件”作出实质性响应。</w:t>
      </w:r>
    </w:p>
    <w:p w14:paraId="7510244F">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8.2投标文件要求加盖电子签章之处，应按要求加盖投标人数字证书的电子签章。其他需要盖章但未明确要求电子签章的，投标人可按要求加盖公章后上传材料电子件或直接加盖电子签章。</w:t>
      </w:r>
    </w:p>
    <w:p w14:paraId="1332595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8.3本项目通过“苏采云”系统进行电子投标，投标人使用政府采购客户端工具制作并通过“苏采云”系统提交投标文件，如标书制作工具中格式、内容与“江苏政府采购网”“宿迁市政府采购网”发布的采购文件不一致的，以“江苏政府采购网”“宿迁市政府采购网”发布的采购文件为准。</w:t>
      </w:r>
    </w:p>
    <w:p w14:paraId="6FA85755">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9、投标文件构成</w:t>
      </w:r>
    </w:p>
    <w:p w14:paraId="5A58F9DC">
      <w:pPr>
        <w:spacing w:line="480" w:lineRule="exact"/>
        <w:ind w:firstLine="480" w:firstLineChars="200"/>
        <w:rPr>
          <w:rFonts w:ascii="Times New Roman" w:hAnsi="Times New Roman" w:cs="仿宋"/>
          <w:bCs/>
          <w:color w:val="auto"/>
          <w:sz w:val="24"/>
          <w:highlight w:val="none"/>
        </w:rPr>
      </w:pPr>
      <w:r>
        <w:rPr>
          <w:rFonts w:hint="eastAsia" w:ascii="Times New Roman" w:hAnsi="Times New Roman" w:cs="仿宋"/>
          <w:color w:val="auto"/>
          <w:sz w:val="24"/>
          <w:highlight w:val="none"/>
        </w:rPr>
        <w:t>9.1投标文件包括资格证明文件、开标一览表、分项报价表、响应及偏离表、投标函、其他证明文件等部分。</w:t>
      </w:r>
      <w:r>
        <w:rPr>
          <w:rFonts w:hint="eastAsia" w:ascii="Times New Roman" w:hAnsi="Times New Roman" w:cs="仿宋"/>
          <w:bCs/>
          <w:color w:val="auto"/>
          <w:sz w:val="24"/>
          <w:highlight w:val="none"/>
        </w:rPr>
        <w:t>投标文件构成资料为非中文时应提供中文译版。</w:t>
      </w:r>
      <w:bookmarkStart w:id="83" w:name="EBc50e2bb832bb43068403b10c1cce6141"/>
    </w:p>
    <w:p w14:paraId="4744B7E6">
      <w:pPr>
        <w:spacing w:line="480" w:lineRule="exact"/>
        <w:ind w:firstLine="482" w:firstLineChars="200"/>
        <w:rPr>
          <w:rFonts w:ascii="Times New Roman" w:hAnsi="Times New Roman" w:cs="仿宋"/>
          <w:bCs/>
          <w:color w:val="auto"/>
          <w:sz w:val="24"/>
          <w:highlight w:val="none"/>
        </w:rPr>
      </w:pPr>
      <w:r>
        <w:rPr>
          <w:rFonts w:hint="eastAsia" w:ascii="Times New Roman" w:hAnsi="Times New Roman" w:cs="仿宋"/>
          <w:b/>
          <w:color w:val="auto"/>
          <w:sz w:val="24"/>
          <w:highlight w:val="none"/>
        </w:rPr>
        <w:t>9.2招标文件要求提供证书证件等原件电子件的，投标人提供的电子件应是对证书证件等原件通过扫描、拍照等方式进行数字化的可被“苏采云”系统识别的数字文件，否则评标委员会可以视其未提供。无论何种原因，即使投标人开标时携带了证书证明资料的原件，但电子投标文件中未包含相关资料电子件的，评标委员会可以视同其未提供。</w:t>
      </w:r>
      <w:bookmarkEnd w:id="83"/>
    </w:p>
    <w:p w14:paraId="3C55855D">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10、投标报价</w:t>
      </w:r>
    </w:p>
    <w:p w14:paraId="2754CEDC">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10.1报价为一次报价，本项目不接受备选的投标方案或有选择的报价，只允许有一个报价。</w:t>
      </w:r>
    </w:p>
    <w:p w14:paraId="557A7CF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10.2报价注意事项：投标价格一律以人民币计算，以元为单位标注，最多保留至小数点后两位，招标文件有规定的按招标文件执行。</w:t>
      </w:r>
    </w:p>
    <w:p w14:paraId="632288DE">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11、投标保证金</w:t>
      </w:r>
      <w:bookmarkStart w:id="84" w:name="EB183a0bf075204c54a4ff090f1aecaaa7"/>
    </w:p>
    <w:p w14:paraId="4ADC7F0C">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本项目不收取投标保证金。</w:t>
      </w:r>
      <w:bookmarkEnd w:id="84"/>
    </w:p>
    <w:p w14:paraId="4315545B">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12、投标有效期</w:t>
      </w:r>
    </w:p>
    <w:p w14:paraId="5E41C187">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12.1在投标人须知前附表规定的投标有效期内，投标有效期从提交投标文件的截止之日起算。投标有效期比规定短的将被视为未实质性响应招标文件。</w:t>
      </w:r>
    </w:p>
    <w:p w14:paraId="101286DF">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12.2特殊情况需延长投标有效期的，采购代理机构可于投标有效期届满之前，要求投标人同意延长有效期，可向投标人提出延长投标有效期的要求，采购代理机构的要求与投标人的答复均应为书面形式（如信件、传真或电报等），投标人拒绝延长的，其投标在原投标有效期届满后将不再有效；投标人同意延长的，不允许修改或撤回投标文件。</w:t>
      </w:r>
    </w:p>
    <w:p w14:paraId="59717253">
      <w:pPr>
        <w:pStyle w:val="3"/>
        <w:spacing w:before="0" w:after="0" w:line="480" w:lineRule="exact"/>
        <w:ind w:firstLine="321" w:firstLineChars="100"/>
        <w:rPr>
          <w:rFonts w:hint="eastAsia" w:eastAsia="宋体" w:cs="Arial"/>
          <w:bCs/>
          <w:color w:val="auto"/>
          <w:szCs w:val="22"/>
          <w:highlight w:val="none"/>
        </w:rPr>
      </w:pPr>
      <w:bookmarkStart w:id="85" w:name="_Toc23443"/>
      <w:bookmarkStart w:id="86" w:name="_Toc2773"/>
      <w:bookmarkStart w:id="87" w:name="_Toc81575195"/>
      <w:bookmarkStart w:id="88" w:name="_Toc81575158"/>
      <w:r>
        <w:rPr>
          <w:rFonts w:hint="eastAsia" w:eastAsia="宋体" w:cs="Arial"/>
          <w:bCs/>
          <w:color w:val="auto"/>
          <w:szCs w:val="22"/>
          <w:highlight w:val="none"/>
        </w:rPr>
        <w:t>四、投标文件的提交</w:t>
      </w:r>
      <w:bookmarkEnd w:id="85"/>
      <w:bookmarkEnd w:id="86"/>
      <w:bookmarkEnd w:id="87"/>
      <w:bookmarkEnd w:id="88"/>
    </w:p>
    <w:p w14:paraId="28A08BE9">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13、投标文件的提交</w:t>
      </w:r>
    </w:p>
    <w:p w14:paraId="13E1F6E4">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13.1投标人应在招标文件规定的投标截止时间前提交投标文件并将电子投标文件上传至“苏采云”系统对应的本次开标采购包中。除招标文件另有规定外，投标人所提交的投标文件不予退还。</w:t>
      </w:r>
    </w:p>
    <w:p w14:paraId="1C332FE1">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13.2投标文件的修改和撤回：在投标截止时间前，投标人可以撤回或重新提交投标文件。投标文件以最终完成上传的为准。</w:t>
      </w:r>
    </w:p>
    <w:p w14:paraId="27C6F0E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13.3采购人、采购代理机构可以通过修改招标文件酌情延长投标文件接收截止日期，在此情况下，投标人的所有权利和义务以及投标人受制约的截止日期均应以延长后新的截止日期为准。</w:t>
      </w:r>
    </w:p>
    <w:p w14:paraId="406939D4">
      <w:pPr>
        <w:spacing w:line="480" w:lineRule="exact"/>
        <w:ind w:firstLine="482" w:firstLineChars="200"/>
        <w:rPr>
          <w:rFonts w:ascii="Times New Roman" w:hAnsi="Times New Roman" w:cs="仿宋"/>
          <w:b/>
          <w:color w:val="auto"/>
          <w:sz w:val="24"/>
          <w:highlight w:val="none"/>
        </w:rPr>
      </w:pPr>
      <w:r>
        <w:rPr>
          <w:rFonts w:hint="eastAsia" w:ascii="Times New Roman" w:hAnsi="Times New Roman" w:cs="仿宋"/>
          <w:b/>
          <w:color w:val="auto"/>
          <w:sz w:val="24"/>
          <w:highlight w:val="none"/>
        </w:rPr>
        <w:t>14、投标文件被拒绝接收的情形</w:t>
      </w:r>
    </w:p>
    <w:p w14:paraId="7493F0A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在招标文件规定的投标截止时间后上传的投标文件或对投标报价或其他实质性内容修正的文件。</w:t>
      </w:r>
    </w:p>
    <w:p w14:paraId="09CDCF4C">
      <w:pPr>
        <w:pStyle w:val="3"/>
        <w:spacing w:before="0" w:after="0" w:line="520" w:lineRule="exact"/>
        <w:ind w:firstLine="321" w:firstLineChars="100"/>
        <w:rPr>
          <w:rFonts w:hint="eastAsia" w:eastAsia="宋体" w:cs="Arial"/>
          <w:bCs/>
          <w:color w:val="auto"/>
          <w:szCs w:val="22"/>
          <w:highlight w:val="none"/>
        </w:rPr>
      </w:pPr>
      <w:bookmarkStart w:id="89" w:name="_Toc81575197"/>
      <w:bookmarkStart w:id="90" w:name="_Toc959"/>
      <w:bookmarkStart w:id="91" w:name="_Toc81575160"/>
      <w:bookmarkStart w:id="92" w:name="_Toc20026"/>
      <w:r>
        <w:rPr>
          <w:rFonts w:hint="eastAsia" w:eastAsia="宋体" w:cs="Arial"/>
          <w:bCs/>
          <w:color w:val="auto"/>
          <w:szCs w:val="22"/>
          <w:highlight w:val="none"/>
        </w:rPr>
        <w:t>五、开标、评标程序</w:t>
      </w:r>
      <w:bookmarkEnd w:id="89"/>
      <w:bookmarkEnd w:id="90"/>
      <w:bookmarkEnd w:id="91"/>
      <w:bookmarkEnd w:id="92"/>
    </w:p>
    <w:p w14:paraId="180B2905">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15、开标</w:t>
      </w:r>
    </w:p>
    <w:p w14:paraId="5065F2D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15.1采购代理机构将在招标公告中规定的时间和地点组织公开开标。投标人应当按照《操作手册》规定，参加开标活动，在“苏采云”系统规定的时间内对投标文件解密。</w:t>
      </w:r>
    </w:p>
    <w:p w14:paraId="1C949DE9">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15.2开标仪式由采购代理机构组织。“苏采云”系统将自动对项目进行开标，并宣布各投标人名称和投标价格。</w:t>
      </w:r>
    </w:p>
    <w:p w14:paraId="7513909E">
      <w:pPr>
        <w:spacing w:line="480" w:lineRule="exact"/>
        <w:ind w:firstLine="482" w:firstLineChars="200"/>
        <w:rPr>
          <w:rFonts w:hint="eastAsia" w:ascii="Times New Roman" w:hAnsi="Times New Roman" w:cs="仿宋"/>
          <w:b/>
          <w:bCs/>
          <w:color w:val="auto"/>
          <w:sz w:val="24"/>
          <w:highlight w:val="none"/>
        </w:rPr>
      </w:pPr>
      <w:r>
        <w:rPr>
          <w:rFonts w:hint="eastAsia" w:ascii="Times New Roman" w:hAnsi="Times New Roman" w:cs="仿宋"/>
          <w:b/>
          <w:bCs/>
          <w:color w:val="auto"/>
          <w:sz w:val="24"/>
          <w:highlight w:val="none"/>
        </w:rPr>
        <w:t>15.3投标人用于解密的CA证书应为该投标文件生成加密、上传的同一把CA证书。投标人应登录“苏采云”系统进入“开标大厅”，在系统约定时间内使用CA证书解密，未成功解密的视为放弃投标。</w:t>
      </w:r>
    </w:p>
    <w:p w14:paraId="79B7B0C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15.4投标人如果对开标过程和开标记录有疑义，应当根据《操作手册》规定提出。如“苏采云”系统中《开标记录表》宣布后5分钟内未提出的，视同认可开标结果。</w:t>
      </w:r>
    </w:p>
    <w:p w14:paraId="7FBAFB4A">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15.5投标人在开、评标全过程中应</w:t>
      </w:r>
      <w:r>
        <w:rPr>
          <w:rFonts w:hint="eastAsia" w:ascii="Times New Roman" w:hAnsi="Times New Roman" w:cs="仿宋"/>
          <w:color w:val="auto"/>
          <w:sz w:val="24"/>
          <w:highlight w:val="none"/>
          <w:lang w:eastAsia="zh-CN"/>
        </w:rPr>
        <w:t>保持通信畅通</w:t>
      </w:r>
      <w:r>
        <w:rPr>
          <w:rFonts w:hint="eastAsia" w:ascii="Times New Roman" w:hAnsi="Times New Roman" w:cs="仿宋"/>
          <w:color w:val="auto"/>
          <w:sz w:val="24"/>
          <w:highlight w:val="none"/>
        </w:rPr>
        <w:t>，及时登录“苏采云”系统查阅、答复相关信息。</w:t>
      </w:r>
    </w:p>
    <w:p w14:paraId="4CCB2800">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16、评标委员会</w:t>
      </w:r>
    </w:p>
    <w:p w14:paraId="2E62DCC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采购人应根据本项目的特点依法组建评标委员会，评标委员会由采购人代表和有关技术、经济等方面的专家组成，且人员构成符合政府采购有关规定。评标委员会负责具体评标事务，按公平、公正、客观、择优的原则独立履行相关职责。</w:t>
      </w:r>
    </w:p>
    <w:p w14:paraId="38DBF695">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17、评标程序</w:t>
      </w:r>
    </w:p>
    <w:p w14:paraId="6DEDCCF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17.1资格审查</w:t>
      </w:r>
      <w:bookmarkStart w:id="93" w:name="EBa9c0a2c9e523494487594c65b2a92370"/>
    </w:p>
    <w:p w14:paraId="2543767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开标结束后，采购人依法根据招标文件的规定对投标人的资格证明文件等进行审查。</w:t>
      </w:r>
      <w:bookmarkEnd w:id="93"/>
    </w:p>
    <w:p w14:paraId="7CE49C16">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17.2符合性检查</w:t>
      </w:r>
    </w:p>
    <w:p w14:paraId="5294ECF7">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17.2.1依据招标文件的规定，由评标委员会从投标文件的有效性、完整性和对招标文件的响应程度进行审查，以确定是否对招标文件的实质性要求作出响应。</w:t>
      </w:r>
    </w:p>
    <w:p w14:paraId="2DB7697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17.2.2在详细评标之前，评标委员会将首先审查每份投标文件是否实质性响应了招标文件的要求。实质性响应的投标应是与招标文件要求的全部条款、条件和规格相符，没有重大偏离的投标。</w:t>
      </w:r>
      <w:bookmarkStart w:id="94" w:name="EB1499356fad43416eb16398733accabf7"/>
      <w:r>
        <w:rPr>
          <w:rFonts w:hint="eastAsia" w:ascii="Times New Roman" w:hAnsi="Times New Roman" w:cs="仿宋"/>
          <w:color w:val="auto"/>
          <w:sz w:val="24"/>
          <w:highlight w:val="none"/>
        </w:rPr>
        <w:t>所谓重大偏离是指投标人投标文件中所述设备质量、技术规格、数量、交货期、服务等明显不能满足招标文件要求。</w:t>
      </w:r>
      <w:bookmarkEnd w:id="94"/>
      <w:r>
        <w:rPr>
          <w:rFonts w:hint="eastAsia" w:ascii="Times New Roman" w:hAnsi="Times New Roman" w:cs="仿宋"/>
          <w:color w:val="auto"/>
          <w:sz w:val="24"/>
          <w:highlight w:val="none"/>
        </w:rPr>
        <w:t>重大偏离的认定需经过评标委员会以少数服从多数的原则作出结论。</w:t>
      </w:r>
    </w:p>
    <w:p w14:paraId="62B05C7C">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17.3未通过资格审查或符合性审查的投标人，采购代理机构将在“苏采云”系统中告知未通过资格审查或符合性审查的原因，评标结束后，采购代理机构将不再告知未通过资格审查或符合性审查的原因。</w:t>
      </w:r>
    </w:p>
    <w:p w14:paraId="00CEA477">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17.4评标委员会判断投标文件的响应性，仅基于投标文件本身而不靠外部证据。对非实质性响应的投标文件，投标人不能通过修正或撤销不符之处，而使其成为实质性响应。</w:t>
      </w:r>
    </w:p>
    <w:p w14:paraId="531EA4D0">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17.5相同品牌产品投标</w:t>
      </w:r>
    </w:p>
    <w:p w14:paraId="4E7F2B0B">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17.5.1采用最低评标价法的采购项目，提供相同品牌产品的不同投标人参加同一合同项下投标的，以其中通过资格审查、符合性审查且报价最低的参加评标；报价相同的，由采购人采取随机抽取方式确定。</w:t>
      </w:r>
    </w:p>
    <w:p w14:paraId="7D5B64D9">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17.5.2使用综合评分法的采购项目，提供相同品牌产品且通过资格审查、符合性审查的不同投标人参加同一合同项下投标的，按一家投标人计算，评审后得分最高的同品牌投标人获得中标人推荐资格；评审得分相同的，报价最低的同品牌投标人获得中标人推荐资格；评审得分且报价相同的，采取随机抽取方式确定，其他同品牌投标人不作为中标候选人。</w:t>
      </w:r>
    </w:p>
    <w:p w14:paraId="7823804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17.5.3非单一产品采购项目，采购人确定核心产品，并在招标文件中载明。多家投标人提供的核心产品品牌相同的，按前两款规定处理。</w:t>
      </w:r>
    </w:p>
    <w:p w14:paraId="1B419306">
      <w:pPr>
        <w:spacing w:line="480" w:lineRule="exact"/>
        <w:ind w:firstLine="482" w:firstLineChars="200"/>
        <w:rPr>
          <w:rFonts w:ascii="Times New Roman" w:hAnsi="Times New Roman" w:cs="仿宋"/>
          <w:b/>
          <w:color w:val="auto"/>
          <w:sz w:val="24"/>
          <w:highlight w:val="none"/>
        </w:rPr>
      </w:pPr>
      <w:r>
        <w:rPr>
          <w:rFonts w:hint="eastAsia" w:ascii="Times New Roman" w:hAnsi="Times New Roman" w:cs="仿宋"/>
          <w:b/>
          <w:color w:val="auto"/>
          <w:sz w:val="24"/>
          <w:highlight w:val="none"/>
        </w:rPr>
        <w:t>17.6有关问题的澄清</w:t>
      </w:r>
    </w:p>
    <w:p w14:paraId="05A432E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17.6.1对投标文件中含义不明确、同类问题表述不一致或者有明显文字和计算错误的内容，评标委员会通过“苏采云”系统向投标人发出“澄清要求函”，要求投标人作出必要的澄清、说明或者补正。投标人的澄清、说明或者补正应当采用书面形式且不得超出投标文件的范围或者改变投标文件的实质性内容。投标人的澄清、说明或者补正应加盖电子公章，或者由法定代表人或其授权的代表签章（或签字）。澄清、说明和补正的内容作为投标文件的补充部分。</w:t>
      </w:r>
    </w:p>
    <w:p w14:paraId="3F52C20D">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17.6.2投标文件报价出现前后不一致的，除招标文件另有规定外，按照下列规定修正：</w:t>
      </w:r>
    </w:p>
    <w:p w14:paraId="135813E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①投标文件中开标一览表（报价表）内容与投标文件中相应内容不一致的，以开标一览表（报价表）为准；</w:t>
      </w:r>
    </w:p>
    <w:p w14:paraId="4F49DE8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②大写金额和小写金额不一致的，以大写金额为准；</w:t>
      </w:r>
    </w:p>
    <w:p w14:paraId="57674861">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③单价金额小数点或者百分比有明显错位的，以开标一览表的总价为准，并修改单价；</w:t>
      </w:r>
    </w:p>
    <w:p w14:paraId="18E6AA03">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④总价金额与按单价汇总金额不一致的，以单价金额计算结果为准。</w:t>
      </w:r>
    </w:p>
    <w:p w14:paraId="079D3FC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同时出现两种以上不一致的，按照前款规定的顺序修正。</w:t>
      </w:r>
    </w:p>
    <w:p w14:paraId="32339BC3">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17.6.3评标委员会将按上述修正错误的方法调整投标文件中的投标报价，并通过“苏采云”系统告知投标人，调整后的价格应对投标人具有约束力。投标人不接受修正后的价格，其投标将被拒绝。</w:t>
      </w:r>
    </w:p>
    <w:p w14:paraId="7CDD6980">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评标过程中，不得去掉报价中的最高报价和最低报价。</w:t>
      </w:r>
    </w:p>
    <w:p w14:paraId="45FDE739">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17.7比较</w:t>
      </w:r>
    </w:p>
    <w:p w14:paraId="75857F57">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评标委员会将按招标文件中规定的评标方法和标准，对符合性检查合格的投标文件进行商务和技术评比。</w:t>
      </w:r>
    </w:p>
    <w:p w14:paraId="45D87126">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17.8推荐中标候选人</w:t>
      </w:r>
    </w:p>
    <w:p w14:paraId="6D05D21A">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评标委员会按照招标文件中规定的评标方法和标准推荐中标候选人。</w:t>
      </w:r>
    </w:p>
    <w:p w14:paraId="12E1E6A1">
      <w:pPr>
        <w:pStyle w:val="3"/>
        <w:spacing w:before="0" w:after="0" w:line="480" w:lineRule="exact"/>
        <w:ind w:firstLine="321" w:firstLineChars="100"/>
        <w:rPr>
          <w:rFonts w:hint="eastAsia" w:eastAsia="宋体" w:cs="Arial"/>
          <w:bCs/>
          <w:color w:val="auto"/>
          <w:szCs w:val="22"/>
          <w:highlight w:val="none"/>
        </w:rPr>
      </w:pPr>
      <w:bookmarkStart w:id="95" w:name="_Toc81575196"/>
      <w:bookmarkStart w:id="96" w:name="_Toc81575159"/>
      <w:bookmarkStart w:id="97" w:name="_Toc8712"/>
      <w:bookmarkStart w:id="98" w:name="_Toc8841"/>
      <w:r>
        <w:rPr>
          <w:rFonts w:hint="eastAsia" w:eastAsia="宋体" w:cs="Arial"/>
          <w:bCs/>
          <w:color w:val="auto"/>
          <w:szCs w:val="22"/>
          <w:highlight w:val="none"/>
        </w:rPr>
        <w:t>六、无效投标、废标、串通投标</w:t>
      </w:r>
      <w:bookmarkEnd w:id="95"/>
      <w:bookmarkEnd w:id="96"/>
      <w:bookmarkEnd w:id="97"/>
      <w:bookmarkEnd w:id="98"/>
      <w:r>
        <w:rPr>
          <w:rFonts w:hint="eastAsia" w:eastAsia="宋体" w:cs="Arial"/>
          <w:bCs/>
          <w:color w:val="auto"/>
          <w:szCs w:val="22"/>
          <w:highlight w:val="none"/>
        </w:rPr>
        <w:t>及取消中标候选人资格情形</w:t>
      </w:r>
    </w:p>
    <w:p w14:paraId="4C634982">
      <w:pPr>
        <w:spacing w:line="480" w:lineRule="exact"/>
        <w:ind w:firstLine="482"/>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18、无效投标情形</w:t>
      </w:r>
    </w:p>
    <w:p w14:paraId="200FD4CC">
      <w:pPr>
        <w:spacing w:line="480" w:lineRule="exact"/>
        <w:ind w:firstLine="480" w:firstLineChars="200"/>
        <w:rPr>
          <w:rFonts w:hint="eastAsia" w:ascii="Times New Roman" w:hAnsi="Times New Roman" w:cs="仿宋"/>
          <w:strike/>
          <w:color w:val="auto"/>
          <w:sz w:val="24"/>
          <w:highlight w:val="none"/>
        </w:rPr>
      </w:pPr>
      <w:r>
        <w:rPr>
          <w:rFonts w:hint="eastAsia" w:ascii="Times New Roman" w:hAnsi="Times New Roman" w:cs="仿宋"/>
          <w:color w:val="auto"/>
          <w:sz w:val="24"/>
          <w:highlight w:val="none"/>
        </w:rPr>
        <w:t>18.1投标人同一采购包提交两个（含两个）以上不同的投标报价的。</w:t>
      </w:r>
    </w:p>
    <w:p w14:paraId="4291C537">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18.2投标人不符合招标文件规</w:t>
      </w:r>
      <w:r>
        <w:rPr>
          <w:rFonts w:hint="eastAsia" w:ascii="Times New Roman" w:hAnsi="Times New Roman" w:cs="仿宋"/>
          <w:color w:val="auto"/>
          <w:sz w:val="24"/>
          <w:highlight w:val="none"/>
          <w:lang w:eastAsia="zh-CN"/>
        </w:rPr>
        <w:t>定的</w:t>
      </w:r>
      <w:r>
        <w:rPr>
          <w:rFonts w:hint="eastAsia" w:ascii="Times New Roman" w:hAnsi="Times New Roman" w:cs="仿宋"/>
          <w:color w:val="auto"/>
          <w:sz w:val="24"/>
          <w:highlight w:val="none"/>
        </w:rPr>
        <w:t>资格要求的或未按规定提交资质证件的。</w:t>
      </w:r>
    </w:p>
    <w:p w14:paraId="4011A922">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18.3投标人的报价超过了采购预算或最高限价的。</w:t>
      </w:r>
    </w:p>
    <w:p w14:paraId="5CCB4989">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18.4投标文件未通过符合性审查的。</w:t>
      </w:r>
    </w:p>
    <w:p w14:paraId="18FF0586">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18.5投标文件出现重大偏离，不符合招标文件中规定的实质性要求的（★部分为实质性要求）。</w:t>
      </w:r>
    </w:p>
    <w:p w14:paraId="72A7DA65">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18.6评标委员会认为投标人的报价明显低于其他通过符合性审查投标人的报价，有可能影响产品质量或者不能诚信履约的，且投标人不能在合理的时间内提供说明，证明其报价合理性的。</w:t>
      </w:r>
    </w:p>
    <w:p w14:paraId="5228823B">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18.7投标文件未按照招标文件要求加盖CA电子公章的。</w:t>
      </w:r>
    </w:p>
    <w:p w14:paraId="2F870F5A">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18.8投标人有本招标文件规定的恶意串通投标情形的。</w:t>
      </w:r>
    </w:p>
    <w:p w14:paraId="7C87D08C">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18.9投标文件含有采购人不能接受的附加条件的。</w:t>
      </w:r>
    </w:p>
    <w:p w14:paraId="74A50D18">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18.10其他法律、法规及本招标文件规定</w:t>
      </w:r>
      <w:r>
        <w:rPr>
          <w:rFonts w:hint="eastAsia" w:ascii="Times New Roman" w:hAnsi="Times New Roman" w:cs="仿宋"/>
          <w:color w:val="auto"/>
          <w:sz w:val="24"/>
          <w:highlight w:val="none"/>
          <w:lang w:eastAsia="zh-CN"/>
        </w:rPr>
        <w:t>的</w:t>
      </w:r>
      <w:r>
        <w:rPr>
          <w:rFonts w:hint="eastAsia" w:ascii="Times New Roman" w:hAnsi="Times New Roman" w:cs="仿宋"/>
          <w:color w:val="auto"/>
          <w:sz w:val="24"/>
          <w:highlight w:val="none"/>
        </w:rPr>
        <w:t>无效投标的情形。</w:t>
      </w:r>
    </w:p>
    <w:p w14:paraId="3EC8EF9B">
      <w:pPr>
        <w:spacing w:line="480" w:lineRule="exact"/>
        <w:ind w:firstLine="482"/>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19、废标情形</w:t>
      </w:r>
    </w:p>
    <w:p w14:paraId="2464C6B4">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19.1符合专业条件的投标人或者对招标文件作实质响应的投标人不足三家的。</w:t>
      </w:r>
    </w:p>
    <w:p w14:paraId="3064D469">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19.2出现影响采购公正的违法、违规行为的。</w:t>
      </w:r>
    </w:p>
    <w:p w14:paraId="5096A3F9">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19.3因重大变故，采购任务取消的。</w:t>
      </w:r>
    </w:p>
    <w:p w14:paraId="441BA466">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19.4评标委员会认定招标文件存在歧义、重大缺陷导致评审工作无法进行的。</w:t>
      </w:r>
    </w:p>
    <w:p w14:paraId="16CD48D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19.5在“苏采云”系统规定时间内成功解密电子投标文件的投标人不足3家的。</w:t>
      </w:r>
    </w:p>
    <w:p w14:paraId="3EBB4834">
      <w:pPr>
        <w:spacing w:line="480" w:lineRule="exact"/>
        <w:ind w:firstLine="482"/>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20、投标人不足三家情形处理</w:t>
      </w:r>
    </w:p>
    <w:p w14:paraId="386AEAED">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投标截止后投标人不足3家或者通过资格审查或符合性审查的投标人不足3家的，除采购任务取消情形外，按财政部令第87号第四十三条条款进行处理。</w:t>
      </w:r>
    </w:p>
    <w:p w14:paraId="7FC884C4">
      <w:pPr>
        <w:spacing w:line="480" w:lineRule="exact"/>
        <w:ind w:firstLine="482"/>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21、串通投标情形</w:t>
      </w:r>
    </w:p>
    <w:p w14:paraId="5EE934DB">
      <w:pPr>
        <w:spacing w:line="500" w:lineRule="exact"/>
        <w:ind w:firstLine="480"/>
        <w:rPr>
          <w:rFonts w:ascii="黑体" w:hAnsi="黑体" w:eastAsia="黑体"/>
          <w:color w:val="auto"/>
          <w:sz w:val="24"/>
          <w:highlight w:val="none"/>
        </w:rPr>
      </w:pPr>
      <w:r>
        <w:rPr>
          <w:rFonts w:hint="eastAsia" w:ascii="黑体" w:hAnsi="黑体" w:eastAsia="黑体"/>
          <w:color w:val="auto"/>
          <w:sz w:val="24"/>
          <w:highlight w:val="none"/>
        </w:rPr>
        <w:t>有下列情形之一的，属于恶意串通投标：</w:t>
      </w:r>
    </w:p>
    <w:p w14:paraId="27AB935B">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21.1供应商直接或间接从采购人或采购代理机构处获得其他供应商的投标情况，并修改其投标文件；</w:t>
      </w:r>
    </w:p>
    <w:p w14:paraId="5611F716">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21.2评审活动开始前供应商直接或间接从采购人或采购代理机构处获得评标委员会组成人员情况；</w:t>
      </w:r>
    </w:p>
    <w:p w14:paraId="78612E59">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21.3供应商接受采购人或采购代理机构授意撤换、修改投标文件；</w:t>
      </w:r>
    </w:p>
    <w:p w14:paraId="5E5381B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21.4供应商之间协商投标报价、技术方案等投标文件实质性内容；</w:t>
      </w:r>
    </w:p>
    <w:p w14:paraId="7D42E7B8">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21.5属于同一集团、协会、商会等组织成员的供应商按照该组织要求协同投标；</w:t>
      </w:r>
    </w:p>
    <w:p w14:paraId="1A6C2935">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21.6供应商之间事先约定由某一特定供应商中标、成交；</w:t>
      </w:r>
    </w:p>
    <w:p w14:paraId="54BA8B6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21.7供应商之间商定部分供应商放弃投标或者放弃中标、成交；</w:t>
      </w:r>
    </w:p>
    <w:p w14:paraId="4F44A03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21.8供应商与采购人或采购代理机构之间、供应商相互之间为谋求特定供应商中标成交或者排斥其他供应商的其他串通行为；</w:t>
      </w:r>
    </w:p>
    <w:p w14:paraId="3C4C9F7B">
      <w:pPr>
        <w:spacing w:line="500" w:lineRule="exact"/>
        <w:ind w:firstLine="482"/>
        <w:rPr>
          <w:rFonts w:ascii="黑体" w:hAnsi="黑体" w:eastAsia="黑体"/>
          <w:color w:val="auto"/>
          <w:sz w:val="24"/>
          <w:highlight w:val="none"/>
        </w:rPr>
      </w:pPr>
      <w:r>
        <w:rPr>
          <w:rFonts w:hint="eastAsia" w:ascii="黑体" w:hAnsi="黑体" w:eastAsia="黑体"/>
          <w:color w:val="auto"/>
          <w:sz w:val="24"/>
          <w:highlight w:val="none"/>
        </w:rPr>
        <w:t>有下列情形之一的，视为投标人串通投标，其投标无效：</w:t>
      </w:r>
    </w:p>
    <w:p w14:paraId="1EAE966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21.9不同投标人的投标文件由同一单位或者个人编制；</w:t>
      </w:r>
    </w:p>
    <w:p w14:paraId="306F8DA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21.10不同投标人委托同一单位或者个人办理投标事宜；</w:t>
      </w:r>
    </w:p>
    <w:p w14:paraId="7A3E8E40">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21.11不同投标人的投标文件载明的项目管理成员或者联系人员为同一人；</w:t>
      </w:r>
    </w:p>
    <w:p w14:paraId="065052DE">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21.12不同投标人的投标文件异常一致或者投标报价呈规律性差异；</w:t>
      </w:r>
    </w:p>
    <w:p w14:paraId="12979A9B">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21.13不同投标人的投标文件相互混装；</w:t>
      </w:r>
    </w:p>
    <w:p w14:paraId="4A15B40B">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21.14不同投标人的投标保证金从同一单位或者个人的账户转出。</w:t>
      </w:r>
    </w:p>
    <w:p w14:paraId="1602BEF2">
      <w:pPr>
        <w:spacing w:line="480" w:lineRule="exact"/>
        <w:ind w:firstLine="482"/>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22、</w:t>
      </w:r>
      <w:bookmarkStart w:id="99" w:name="OLE_LINK4"/>
      <w:r>
        <w:rPr>
          <w:rFonts w:hint="eastAsia" w:ascii="Times New Roman" w:hAnsi="Times New Roman" w:cs="仿宋"/>
          <w:b/>
          <w:color w:val="auto"/>
          <w:sz w:val="24"/>
          <w:highlight w:val="none"/>
        </w:rPr>
        <w:t>取消中标候选人资格情形</w:t>
      </w:r>
    </w:p>
    <w:bookmarkEnd w:id="99"/>
    <w:p w14:paraId="50C5D498">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22.1提供虚假材料谋取中标的；</w:t>
      </w:r>
    </w:p>
    <w:p w14:paraId="74649FE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22.2采取不正当手段诋毁、排挤其他投标人的；</w:t>
      </w:r>
    </w:p>
    <w:p w14:paraId="2A7B6E0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22.3与采购人、其他投标人或者采购代理机构恶意串通的；</w:t>
      </w:r>
    </w:p>
    <w:p w14:paraId="17D48A3A">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22.4向采购人、采购代理机构行贿或者提供其他不正当利益的；</w:t>
      </w:r>
    </w:p>
    <w:p w14:paraId="48907F15">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22.5未在规定时间内与采购人签订采购合同的；</w:t>
      </w:r>
    </w:p>
    <w:p w14:paraId="51F6B906">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22.6法律、法规规定的</w:t>
      </w:r>
      <w:r>
        <w:rPr>
          <w:rFonts w:hint="eastAsia" w:ascii="Times New Roman" w:hAnsi="Times New Roman" w:cs="仿宋"/>
          <w:color w:val="auto"/>
          <w:sz w:val="24"/>
          <w:highlight w:val="none"/>
          <w:lang w:eastAsia="zh-CN"/>
        </w:rPr>
        <w:t>其他情况</w:t>
      </w:r>
      <w:r>
        <w:rPr>
          <w:rFonts w:hint="eastAsia" w:ascii="Times New Roman" w:hAnsi="Times New Roman" w:cs="仿宋"/>
          <w:color w:val="auto"/>
          <w:sz w:val="24"/>
          <w:highlight w:val="none"/>
        </w:rPr>
        <w:t>。</w:t>
      </w:r>
      <w:bookmarkStart w:id="100" w:name="_Toc2391"/>
      <w:bookmarkStart w:id="101" w:name="_Toc6494"/>
      <w:bookmarkStart w:id="102" w:name="_Toc81575161"/>
      <w:bookmarkStart w:id="103" w:name="_Toc81575198"/>
    </w:p>
    <w:p w14:paraId="203B220B">
      <w:pPr>
        <w:spacing w:line="480" w:lineRule="exact"/>
        <w:ind w:firstLine="321" w:firstLineChars="100"/>
        <w:outlineLvl w:val="1"/>
        <w:rPr>
          <w:rFonts w:hint="eastAsia" w:ascii="Arial" w:hAnsi="Arial" w:eastAsia="宋体" w:cs="Arial"/>
          <w:b/>
          <w:bCs/>
          <w:color w:val="auto"/>
          <w:sz w:val="32"/>
          <w:szCs w:val="22"/>
          <w:highlight w:val="none"/>
          <w:lang w:val="en-US" w:eastAsia="zh-CN" w:bidi="ar-SA"/>
        </w:rPr>
      </w:pPr>
      <w:r>
        <w:rPr>
          <w:rFonts w:hint="eastAsia" w:ascii="Arial" w:hAnsi="Arial" w:eastAsia="宋体" w:cs="Arial"/>
          <w:b/>
          <w:bCs/>
          <w:color w:val="auto"/>
          <w:sz w:val="32"/>
          <w:szCs w:val="22"/>
          <w:highlight w:val="none"/>
          <w:lang w:val="en-US" w:eastAsia="zh-CN" w:bidi="ar-SA"/>
        </w:rPr>
        <w:t>七、中标及合同签订</w:t>
      </w:r>
      <w:bookmarkEnd w:id="100"/>
      <w:bookmarkEnd w:id="101"/>
      <w:bookmarkEnd w:id="102"/>
      <w:bookmarkEnd w:id="103"/>
    </w:p>
    <w:p w14:paraId="2A802C74">
      <w:pPr>
        <w:spacing w:line="50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23、确定中标人</w:t>
      </w:r>
    </w:p>
    <w:p w14:paraId="025A9AD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23.1采购人应当自收到评审报告之日起5个工作日内在评审报告推荐的中标候选人中按顺序确定中标人。</w:t>
      </w:r>
    </w:p>
    <w:p w14:paraId="416C981A">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23.2中标人确定之日起2个工作日内，采购人、采购代理机构将发布中标结果，中标公告的公告期限为1个工作日。</w:t>
      </w:r>
    </w:p>
    <w:p w14:paraId="57B7CD52">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23.3采购人确定正被列为失信被执行人的投标人为中标人的，中标结果无效。</w:t>
      </w:r>
    </w:p>
    <w:p w14:paraId="17805FBF">
      <w:pPr>
        <w:spacing w:line="50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24、中标通知书</w:t>
      </w:r>
    </w:p>
    <w:p w14:paraId="5D94FAB0">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24.1在公告中标结果的同时，采购代理机构将向中标人发出中标通知书。中标人使用CA数字证书登录“苏采云”系统及时下载中标通知书。</w:t>
      </w:r>
    </w:p>
    <w:p w14:paraId="435E6508">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24.2中标通知书发出后，采购人改变中标结果的，或者中标人放弃中标项目的，应当依法承担法律责任。</w:t>
      </w:r>
    </w:p>
    <w:p w14:paraId="2575ECF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24.3采用综合评分法评审的，未中标人可于中标结果公告期限届满之日起通过“苏采云”系统查看</w:t>
      </w:r>
      <w:bookmarkStart w:id="104" w:name="OLE_LINK5"/>
      <w:r>
        <w:rPr>
          <w:rFonts w:hint="eastAsia" w:ascii="Times New Roman" w:hAnsi="Times New Roman" w:cs="仿宋"/>
          <w:color w:val="auto"/>
          <w:sz w:val="24"/>
          <w:highlight w:val="none"/>
        </w:rPr>
        <w:t>自己的评审得分及排序情况。</w:t>
      </w:r>
    </w:p>
    <w:bookmarkEnd w:id="104"/>
    <w:p w14:paraId="4D42B497">
      <w:pPr>
        <w:spacing w:line="50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25、授予合同</w:t>
      </w:r>
    </w:p>
    <w:p w14:paraId="50C3CB8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25.1采购人与中标人应当在中标通知书发出之日起15日内签订政府采购合同。招标文件、中标人的投标文件以及评标过程中有关澄清文件均作为合同附件。</w:t>
      </w:r>
    </w:p>
    <w:p w14:paraId="42E2C2C8">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25.2采购人在自合同签订之日起2个工作日内，将合同在指定的媒体上公告。</w:t>
      </w:r>
    </w:p>
    <w:p w14:paraId="3BDE34C1">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26、履约保证金</w:t>
      </w:r>
    </w:p>
    <w:p w14:paraId="553A3C7F">
      <w:pPr>
        <w:spacing w:line="480" w:lineRule="exact"/>
        <w:ind w:firstLine="480" w:firstLineChars="200"/>
        <w:rPr>
          <w:rFonts w:hint="eastAsia" w:ascii="Times New Roman" w:hAnsi="Times New Roman" w:cs="仿宋"/>
          <w:color w:val="auto"/>
          <w:sz w:val="24"/>
          <w:highlight w:val="none"/>
          <w:lang w:val="zh-CN"/>
        </w:rPr>
      </w:pPr>
      <w:r>
        <w:rPr>
          <w:rFonts w:hint="eastAsia" w:ascii="Times New Roman" w:hAnsi="Times New Roman" w:cs="仿宋"/>
          <w:color w:val="auto"/>
          <w:sz w:val="24"/>
          <w:highlight w:val="none"/>
          <w:lang w:val="zh-CN"/>
        </w:rPr>
        <w:t>按照以下第</w:t>
      </w:r>
      <w:r>
        <w:rPr>
          <w:rFonts w:hint="eastAsia" w:ascii="Times New Roman" w:hAnsi="Times New Roman" w:cs="仿宋"/>
          <w:color w:val="FF0000"/>
          <w:sz w:val="24"/>
          <w:highlight w:val="yellow"/>
          <w:u w:val="single"/>
        </w:rPr>
        <w:t>（</w:t>
      </w:r>
      <w:r>
        <w:rPr>
          <w:rFonts w:hint="eastAsia" w:ascii="Times New Roman" w:hAnsi="Times New Roman" w:cs="仿宋"/>
          <w:color w:val="FF0000"/>
          <w:sz w:val="24"/>
          <w:highlight w:val="yellow"/>
          <w:u w:val="single"/>
          <w:lang w:val="en-US" w:eastAsia="zh-CN"/>
        </w:rPr>
        <w:t>2</w:t>
      </w:r>
      <w:r>
        <w:rPr>
          <w:rFonts w:hint="eastAsia" w:ascii="Times New Roman" w:hAnsi="Times New Roman" w:cs="仿宋"/>
          <w:color w:val="FF0000"/>
          <w:sz w:val="24"/>
          <w:highlight w:val="yellow"/>
          <w:u w:val="single"/>
        </w:rPr>
        <w:t>）</w:t>
      </w:r>
      <w:r>
        <w:rPr>
          <w:rFonts w:hint="eastAsia" w:ascii="Times New Roman" w:hAnsi="Times New Roman" w:cs="仿宋"/>
          <w:color w:val="auto"/>
          <w:sz w:val="24"/>
          <w:highlight w:val="none"/>
          <w:lang w:val="zh-CN"/>
        </w:rPr>
        <w:t>方式确定履约保证</w:t>
      </w:r>
      <w:r>
        <w:rPr>
          <w:rFonts w:hint="eastAsia" w:ascii="Times New Roman" w:hAnsi="Times New Roman" w:cs="仿宋"/>
          <w:color w:val="auto"/>
          <w:sz w:val="24"/>
          <w:highlight w:val="none"/>
        </w:rPr>
        <w:t>金</w:t>
      </w:r>
      <w:r>
        <w:rPr>
          <w:rFonts w:hint="eastAsia" w:ascii="Times New Roman" w:hAnsi="Times New Roman" w:cs="仿宋"/>
          <w:color w:val="auto"/>
          <w:sz w:val="24"/>
          <w:highlight w:val="none"/>
          <w:lang w:val="zh-CN"/>
        </w:rPr>
        <w:t>收取方式。</w:t>
      </w:r>
    </w:p>
    <w:p w14:paraId="21AF1C38">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（1）本项目不收取履约保证金。</w:t>
      </w:r>
    </w:p>
    <w:p w14:paraId="3341E1D0">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（2）本项目收取履约保证金。</w:t>
      </w:r>
    </w:p>
    <w:p w14:paraId="788E826B">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26.1履约保证金提交形式</w:t>
      </w:r>
    </w:p>
    <w:p w14:paraId="5A100410">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履约保证金应在采购合同签订前提交，除银行电汇、网上银行、数字人民币外，投标人还可选用银行保函、担保公司的保证担保或保险公司的保证保险等多种形式向采购人缴纳。</w:t>
      </w:r>
    </w:p>
    <w:p w14:paraId="10CFEE3F">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26.2履约保证金提交金额</w:t>
      </w:r>
    </w:p>
    <w:p w14:paraId="7CEA30E1">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按采购合同总价的</w:t>
      </w:r>
      <w:r>
        <w:rPr>
          <w:rFonts w:hint="eastAsia" w:ascii="Times New Roman" w:hAnsi="Times New Roman" w:cs="仿宋"/>
          <w:color w:val="auto"/>
          <w:sz w:val="24"/>
          <w:highlight w:val="yellow"/>
          <w:u w:val="single"/>
        </w:rPr>
        <w:t xml:space="preserve"> </w:t>
      </w:r>
      <w:r>
        <w:rPr>
          <w:rFonts w:hint="eastAsia" w:ascii="Times New Roman" w:hAnsi="Times New Roman" w:cs="仿宋"/>
          <w:color w:val="auto"/>
          <w:sz w:val="24"/>
          <w:highlight w:val="yellow"/>
          <w:u w:val="single"/>
          <w:lang w:val="en-US" w:eastAsia="zh-CN"/>
        </w:rPr>
        <w:t>5</w:t>
      </w:r>
      <w:r>
        <w:rPr>
          <w:rFonts w:hint="eastAsia" w:ascii="Times New Roman" w:hAnsi="Times New Roman" w:cs="仿宋"/>
          <w:color w:val="auto"/>
          <w:sz w:val="24"/>
          <w:highlight w:val="yellow"/>
          <w:u w:val="single"/>
        </w:rPr>
        <w:t xml:space="preserve"> </w:t>
      </w:r>
      <w:r>
        <w:rPr>
          <w:rFonts w:hint="eastAsia" w:ascii="Times New Roman" w:hAnsi="Times New Roman" w:cs="仿宋"/>
          <w:color w:val="auto"/>
          <w:sz w:val="24"/>
          <w:highlight w:val="none"/>
        </w:rPr>
        <w:t>%提交。</w:t>
      </w:r>
    </w:p>
    <w:p w14:paraId="0C1C8CF4">
      <w:pPr>
        <w:spacing w:line="480" w:lineRule="exact"/>
        <w:ind w:firstLine="480"/>
        <w:rPr>
          <w:rFonts w:hint="eastAsia" w:ascii="Times New Roman" w:hAnsi="Times New Roman" w:eastAsia="宋体" w:cs="仿宋"/>
          <w:color w:val="auto"/>
          <w:sz w:val="24"/>
          <w:highlight w:val="none"/>
        </w:rPr>
      </w:pPr>
      <w:r>
        <w:rPr>
          <w:rFonts w:hint="eastAsia" w:ascii="Times New Roman" w:hAnsi="Times New Roman" w:eastAsia="宋体" w:cs="仿宋"/>
          <w:color w:val="auto"/>
          <w:sz w:val="24"/>
          <w:highlight w:val="none"/>
        </w:rPr>
        <w:t>支持和鼓励投标人使用江苏政府采购电子履约保函（保险）代替缴纳履约保证金，投标人如使用江苏政府采购电子履约保函（保险）的，可按采购合同总价的</w:t>
      </w:r>
      <w:r>
        <w:rPr>
          <w:rFonts w:hint="eastAsia" w:ascii="Times New Roman" w:hAnsi="Times New Roman" w:eastAsia="宋体" w:cs="仿宋"/>
          <w:color w:val="auto"/>
          <w:sz w:val="24"/>
          <w:highlight w:val="yellow"/>
          <w:u w:val="single"/>
        </w:rPr>
        <w:t xml:space="preserve"> </w:t>
      </w:r>
      <w:r>
        <w:rPr>
          <w:rFonts w:hint="eastAsia" w:ascii="Times New Roman" w:hAnsi="Times New Roman" w:cs="仿宋"/>
          <w:color w:val="auto"/>
          <w:sz w:val="24"/>
          <w:highlight w:val="yellow"/>
          <w:u w:val="single"/>
          <w:lang w:val="en-US" w:eastAsia="zh-CN"/>
        </w:rPr>
        <w:t>3</w:t>
      </w:r>
      <w:r>
        <w:rPr>
          <w:rFonts w:hint="eastAsia" w:ascii="Times New Roman" w:hAnsi="Times New Roman" w:eastAsia="宋体" w:cs="仿宋"/>
          <w:color w:val="auto"/>
          <w:sz w:val="24"/>
          <w:highlight w:val="none"/>
        </w:rPr>
        <w:t xml:space="preserve"> %（履约保证金原提交金额的6折）提交。办理流程、偿付等内容见江苏政府采购网“保险保函”模块。</w:t>
      </w:r>
    </w:p>
    <w:p w14:paraId="73DA4F18">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26.3履约保证金退还方式</w:t>
      </w:r>
    </w:p>
    <w:p w14:paraId="6482FC52">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以银行电汇、网上银行、数字人民币形式缴纳履约保证金的，退回至投标人存款账户或数字人民币账户；以保函、担保、保险等形式缴纳履约保证金的，在保函、担保、保险约定的保证期限届满之日起自行失效。</w:t>
      </w:r>
    </w:p>
    <w:p w14:paraId="02707104">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26.4履约保证金退还条件</w:t>
      </w:r>
    </w:p>
    <w:p w14:paraId="48AF8272">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具有验收合格相关证明材料。</w:t>
      </w:r>
    </w:p>
    <w:p w14:paraId="38B01F8E">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26.5履约保证金退还时间</w:t>
      </w:r>
    </w:p>
    <w:p w14:paraId="1DBC0CCC">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采购人收到投标人退付申请后5个工作日内退还。</w:t>
      </w:r>
    </w:p>
    <w:p w14:paraId="1048F7E0">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26.6履约保证金不予退还情形</w:t>
      </w:r>
    </w:p>
    <w:p w14:paraId="67BFDBC6">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除不可抗力外，中标人不履行与采购人订立的采购合同的，履约保证金不予退还，给采购人造成的损失超过履约保证金数额的，还应对超过部分予以赔偿。</w:t>
      </w:r>
    </w:p>
    <w:p w14:paraId="291D7D24">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26.7逾期退还履约保证金违约责任</w:t>
      </w:r>
    </w:p>
    <w:p w14:paraId="6AFDE3DE">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采购人逾期退还履约保证金的，除应退还履约保证金外，还应按中国人民银行同期贷款基准利率上浮20％后的利率支付超期资金占用费，但因投标人自身原因导致无法及时退还的除外。</w:t>
      </w:r>
    </w:p>
    <w:p w14:paraId="0D096F5D">
      <w:pPr>
        <w:spacing w:line="480" w:lineRule="exact"/>
        <w:ind w:firstLine="482" w:firstLineChars="200"/>
        <w:rPr>
          <w:rFonts w:ascii="Times New Roman" w:hAnsi="Times New Roman" w:cs="仿宋"/>
          <w:b/>
          <w:bCs/>
          <w:color w:val="auto"/>
          <w:sz w:val="24"/>
          <w:szCs w:val="24"/>
          <w:highlight w:val="none"/>
        </w:rPr>
      </w:pPr>
      <w:r>
        <w:rPr>
          <w:rFonts w:hint="eastAsia" w:ascii="Times New Roman" w:hAnsi="Times New Roman" w:cs="仿宋"/>
          <w:b/>
          <w:color w:val="auto"/>
          <w:sz w:val="24"/>
          <w:highlight w:val="none"/>
        </w:rPr>
        <w:t>27、线上融资</w:t>
      </w:r>
    </w:p>
    <w:p w14:paraId="737A4ABA">
      <w:pPr>
        <w:spacing w:line="480" w:lineRule="exact"/>
        <w:ind w:firstLine="480" w:firstLineChars="200"/>
        <w:rPr>
          <w:rFonts w:hint="eastAsia" w:ascii="Times New Roman" w:hAnsi="Times New Roman" w:cs="仿宋"/>
          <w:b/>
          <w:bCs/>
          <w:color w:val="auto"/>
          <w:sz w:val="24"/>
          <w:szCs w:val="24"/>
          <w:highlight w:val="none"/>
        </w:rPr>
      </w:pPr>
      <w:r>
        <w:rPr>
          <w:rFonts w:hint="eastAsia" w:ascii="宋体" w:hAnsi="宋体"/>
          <w:bCs/>
          <w:color w:val="auto"/>
          <w:sz w:val="24"/>
          <w:szCs w:val="24"/>
          <w:highlight w:val="none"/>
        </w:rPr>
        <w:t>中标人可凭政府采购合同办理融资贷款，详情见江苏政府采购网“政采贷”专栏。</w:t>
      </w:r>
    </w:p>
    <w:p w14:paraId="0761B538">
      <w:pPr>
        <w:spacing w:line="480" w:lineRule="exact"/>
        <w:ind w:firstLine="482" w:firstLineChars="200"/>
        <w:rPr>
          <w:rFonts w:hint="eastAsia" w:ascii="Times New Roman" w:hAnsi="Times New Roman" w:cs="仿宋"/>
          <w:color w:val="auto"/>
          <w:sz w:val="24"/>
          <w:highlight w:val="none"/>
        </w:rPr>
      </w:pPr>
      <w:r>
        <w:rPr>
          <w:rFonts w:hint="eastAsia" w:ascii="Times New Roman" w:hAnsi="Times New Roman" w:cs="仿宋"/>
          <w:b/>
          <w:color w:val="auto"/>
          <w:sz w:val="24"/>
          <w:highlight w:val="none"/>
        </w:rPr>
        <w:t>28、合同履行</w:t>
      </w:r>
    </w:p>
    <w:p w14:paraId="0492AEBC">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28.1政府采购合同订立后，合同各方不得擅自变更、中止或者终止合同。</w:t>
      </w:r>
    </w:p>
    <w:p w14:paraId="523CA16E">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28.2政府采购合同履行中，采购人需追加与合同标的相同的货物、工程或者服务的，在不改变合同其他条款的前提下，可以与中标人签订补充合同，但所补充合同的采购金额不得超过原采购金额的10%。</w:t>
      </w:r>
    </w:p>
    <w:p w14:paraId="74ADD652">
      <w:pPr>
        <w:pStyle w:val="3"/>
        <w:spacing w:before="0" w:after="0" w:line="520" w:lineRule="exact"/>
        <w:rPr>
          <w:rFonts w:hint="eastAsia" w:eastAsia="宋体" w:cs="Arial"/>
          <w:bCs/>
          <w:color w:val="auto"/>
          <w:szCs w:val="22"/>
          <w:highlight w:val="none"/>
        </w:rPr>
      </w:pPr>
      <w:bookmarkStart w:id="105" w:name="_Toc81575199"/>
      <w:bookmarkStart w:id="106" w:name="_Toc22084"/>
      <w:bookmarkStart w:id="107" w:name="_Toc7550"/>
      <w:bookmarkStart w:id="108" w:name="_Toc81575162"/>
      <w:r>
        <w:rPr>
          <w:rFonts w:hint="eastAsia" w:eastAsia="宋体" w:cs="Arial"/>
          <w:bCs/>
          <w:color w:val="auto"/>
          <w:szCs w:val="22"/>
          <w:highlight w:val="none"/>
        </w:rPr>
        <w:t>八、</w:t>
      </w:r>
      <w:bookmarkEnd w:id="105"/>
      <w:bookmarkEnd w:id="106"/>
      <w:bookmarkEnd w:id="107"/>
      <w:bookmarkEnd w:id="108"/>
      <w:bookmarkStart w:id="109" w:name="_Toc81575200"/>
      <w:bookmarkStart w:id="110" w:name="_Toc31888"/>
      <w:bookmarkStart w:id="111" w:name="_Toc12263"/>
      <w:bookmarkStart w:id="112" w:name="_Toc81575163"/>
      <w:r>
        <w:rPr>
          <w:rFonts w:hint="eastAsia" w:eastAsia="宋体" w:cs="Arial"/>
          <w:bCs/>
          <w:color w:val="auto"/>
          <w:szCs w:val="22"/>
          <w:highlight w:val="none"/>
        </w:rPr>
        <w:t>质疑与投诉</w:t>
      </w:r>
      <w:bookmarkEnd w:id="109"/>
      <w:bookmarkEnd w:id="110"/>
      <w:bookmarkEnd w:id="111"/>
      <w:bookmarkEnd w:id="112"/>
    </w:p>
    <w:p w14:paraId="62032A32">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29、质疑</w:t>
      </w:r>
    </w:p>
    <w:p w14:paraId="6AC136BE">
      <w:pPr>
        <w:spacing w:line="480" w:lineRule="exact"/>
        <w:ind w:firstLine="480" w:firstLineChars="200"/>
        <w:rPr>
          <w:rFonts w:ascii="Times New Roman" w:hAnsi="Times New Roman" w:cs="仿宋"/>
          <w:color w:val="auto"/>
          <w:sz w:val="24"/>
          <w:highlight w:val="none"/>
        </w:rPr>
      </w:pPr>
      <w:r>
        <w:rPr>
          <w:rFonts w:hint="eastAsia" w:ascii="Times New Roman" w:hAnsi="Times New Roman" w:cs="仿宋"/>
          <w:color w:val="auto"/>
          <w:sz w:val="24"/>
          <w:highlight w:val="none"/>
        </w:rPr>
        <w:t>29.1供应商认为采购文件、采购过程和中标结果使自己的权益受到损害的，可以在知道或者应知其权益受到损害之日起七个工作日内，</w:t>
      </w:r>
      <w:bookmarkStart w:id="113" w:name="OLE_LINK2"/>
      <w:r>
        <w:rPr>
          <w:rFonts w:hint="eastAsia" w:ascii="Times New Roman" w:hAnsi="Times New Roman" w:cs="仿宋"/>
          <w:b/>
          <w:bCs/>
          <w:color w:val="auto"/>
          <w:sz w:val="24"/>
          <w:highlight w:val="none"/>
        </w:rPr>
        <w:t>登录“苏采云”系统，从“项目质疑申请”模块向采购人提出质疑</w:t>
      </w:r>
      <w:bookmarkEnd w:id="113"/>
      <w:r>
        <w:rPr>
          <w:rFonts w:hint="eastAsia" w:ascii="Times New Roman" w:hAnsi="Times New Roman" w:cs="仿宋"/>
          <w:b/>
          <w:bCs/>
          <w:color w:val="auto"/>
          <w:sz w:val="24"/>
          <w:highlight w:val="none"/>
        </w:rPr>
        <w:t>。</w:t>
      </w:r>
      <w:bookmarkStart w:id="114" w:name="OLE_LINK1"/>
      <w:r>
        <w:rPr>
          <w:rFonts w:hint="eastAsia" w:ascii="Times New Roman" w:hAnsi="Times New Roman" w:cs="仿宋"/>
          <w:color w:val="auto"/>
          <w:sz w:val="24"/>
          <w:highlight w:val="none"/>
        </w:rPr>
        <w:t>质疑联系部门、联系电话、通讯地址详见采购公告。</w:t>
      </w:r>
      <w:bookmarkEnd w:id="114"/>
    </w:p>
    <w:p w14:paraId="04AE290E">
      <w:pPr>
        <w:spacing w:line="480" w:lineRule="exact"/>
        <w:ind w:firstLine="480" w:firstLineChars="200"/>
        <w:rPr>
          <w:rFonts w:hint="eastAsia" w:ascii="Times New Roman" w:hAnsi="Times New Roman" w:cs="仿宋"/>
          <w:color w:val="auto"/>
          <w:sz w:val="24"/>
          <w:highlight w:val="none"/>
        </w:rPr>
      </w:pPr>
      <w:r>
        <w:rPr>
          <w:rFonts w:hint="eastAsia" w:ascii="Times New Roman" w:hAnsi="Times New Roman" w:cs="仿宋"/>
          <w:color w:val="auto"/>
          <w:sz w:val="24"/>
          <w:highlight w:val="none"/>
        </w:rPr>
        <w:t>29.2供应商应知其权益受到损害之日，是指：</w:t>
      </w:r>
    </w:p>
    <w:p w14:paraId="5BE2015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（1）对本项目采购文件提出质疑的，为获取采购文件之日或者采购文件公告期限届满之日；</w:t>
      </w:r>
    </w:p>
    <w:p w14:paraId="6B0F9852">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（2）对本项目采购过程提出质疑的，为各采购程序环节结束之日；</w:t>
      </w:r>
    </w:p>
    <w:p w14:paraId="6FC2997F">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（3）对本项目中标结果提出质疑的，为中标结果公告期限届满之日。</w:t>
      </w:r>
    </w:p>
    <w:p w14:paraId="303E7689">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29.3质疑供应商应当是参与所质疑项目采购活动的供应商。潜在供应商已依法获取其可质疑的采购文件的，方可对该文件提出质疑。供应商在法定质疑期内应一次性提出针对同一采购程序环节的质疑。</w:t>
      </w:r>
    </w:p>
    <w:p w14:paraId="10FDA861">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29.4供应商提出质疑应当提交质疑函和必要的证明材料。质疑函的必备内容：</w:t>
      </w:r>
    </w:p>
    <w:p w14:paraId="19C3F819">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（1）供应商的姓名或者名称、地址、邮编、联系人及联系电话；</w:t>
      </w:r>
    </w:p>
    <w:p w14:paraId="0D831685">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（2）质疑项目的名称、编号；</w:t>
      </w:r>
    </w:p>
    <w:p w14:paraId="24736083">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（3）获取采购文件的时间；</w:t>
      </w:r>
    </w:p>
    <w:p w14:paraId="0A321F7B">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（4）具体、明确的质疑事项和质疑事项相关的请求；</w:t>
      </w:r>
    </w:p>
    <w:p w14:paraId="54E6811E">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（5）事实依据；</w:t>
      </w:r>
    </w:p>
    <w:p w14:paraId="000CCD4A">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（6）必要的法律依据；</w:t>
      </w:r>
    </w:p>
    <w:p w14:paraId="242B56F0">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（7）提出质疑的日期；</w:t>
      </w:r>
    </w:p>
    <w:p w14:paraId="26F67DA6">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（8）供应商为自然人的，由本人签字；供应商为法人或者其他组织的，应当由法定代表人、主要负责人，或者其授权代表签字或者盖章，并加盖公章；</w:t>
      </w:r>
    </w:p>
    <w:p w14:paraId="33534CB4">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9）供应商委托代理人进行质疑的，代理人同时应当提交供应商签署的授权委托书。授权委托书载明代理人的姓名或者名称、代理事项、具体权限、期限和相关事项。供应商为自然人的，授权委托书应当由本人签字；供应商为法人或者其他组织的，授权委托书应当由法定代表人、主要负责人签字或者盖章，并加盖单位公章。</w:t>
      </w:r>
    </w:p>
    <w:p w14:paraId="55291581">
      <w:pPr>
        <w:spacing w:line="480" w:lineRule="exact"/>
        <w:ind w:firstLine="480"/>
        <w:rPr>
          <w:rFonts w:hint="eastAsia" w:ascii="Times New Roman" w:hAnsi="Times New Roman" w:cs="仿宋"/>
          <w:color w:val="auto"/>
          <w:sz w:val="24"/>
          <w:highlight w:val="none"/>
        </w:rPr>
      </w:pPr>
      <w:r>
        <w:rPr>
          <w:rFonts w:hint="eastAsia" w:ascii="Times New Roman" w:hAnsi="Times New Roman" w:cs="仿宋"/>
          <w:color w:val="auto"/>
          <w:sz w:val="24"/>
          <w:highlight w:val="none"/>
        </w:rPr>
        <w:t>29.5采购人在收到质疑函后7个工作日内作出答复，并以书面形式通知质疑供应商和其他有关供应商，但质疑答复的内容不涉及商业秘密。</w:t>
      </w:r>
    </w:p>
    <w:p w14:paraId="487CBCD2">
      <w:pPr>
        <w:spacing w:line="480" w:lineRule="exact"/>
        <w:ind w:firstLine="482" w:firstLineChars="200"/>
        <w:rPr>
          <w:rFonts w:hint="eastAsia" w:ascii="Times New Roman" w:hAnsi="Times New Roman" w:cs="仿宋"/>
          <w:b/>
          <w:color w:val="auto"/>
          <w:sz w:val="24"/>
          <w:highlight w:val="none"/>
        </w:rPr>
      </w:pPr>
      <w:r>
        <w:rPr>
          <w:rFonts w:hint="eastAsia" w:ascii="Times New Roman" w:hAnsi="Times New Roman" w:cs="仿宋"/>
          <w:b/>
          <w:color w:val="auto"/>
          <w:sz w:val="24"/>
          <w:highlight w:val="none"/>
        </w:rPr>
        <w:t>30、投诉</w:t>
      </w:r>
    </w:p>
    <w:p w14:paraId="2AFA86F9">
      <w:pPr>
        <w:spacing w:line="480" w:lineRule="exact"/>
        <w:ind w:firstLine="480"/>
        <w:rPr>
          <w:rFonts w:ascii="Times New Roman" w:hAnsi="Times New Roman" w:cs="仿宋"/>
          <w:color w:val="auto"/>
          <w:sz w:val="24"/>
          <w:highlight w:val="none"/>
        </w:rPr>
      </w:pPr>
      <w:r>
        <w:rPr>
          <w:rFonts w:hint="eastAsia" w:ascii="Times New Roman" w:hAnsi="Times New Roman" w:cs="仿宋"/>
          <w:color w:val="auto"/>
          <w:sz w:val="24"/>
          <w:highlight w:val="none"/>
        </w:rPr>
        <w:t>质疑供应商对答复不满意或采购人、采购代理机构未在规定时间内作出答复的，可在答复期满后15个工作日内向同级财政部门提起投诉。</w:t>
      </w:r>
    </w:p>
    <w:p w14:paraId="532675B0">
      <w:pPr>
        <w:pStyle w:val="2"/>
        <w:spacing w:before="200"/>
        <w:jc w:val="center"/>
        <w:rPr>
          <w:color w:val="auto"/>
          <w:highlight w:val="none"/>
        </w:rPr>
      </w:pPr>
      <w:bookmarkStart w:id="115" w:name="EB4d341233595e4bf8ad7006b4bd78d974"/>
      <w:bookmarkEnd w:id="115"/>
      <w:bookmarkStart w:id="116" w:name="_Toc81575201"/>
      <w:bookmarkStart w:id="117" w:name="_Toc81575164"/>
      <w:bookmarkStart w:id="118" w:name="_Hlk166141273"/>
      <w:r>
        <w:rPr>
          <w:rFonts w:hint="eastAsia"/>
          <w:color w:val="auto"/>
          <w:highlight w:val="none"/>
        </w:rPr>
        <w:br w:type="page"/>
      </w:r>
      <w:bookmarkStart w:id="119" w:name="_Toc17996"/>
      <w:r>
        <w:rPr>
          <w:rFonts w:hint="eastAsia" w:ascii="Calibri" w:hAnsi="Calibri" w:eastAsia="宋体" w:cs="Times New Roman"/>
          <w:b/>
          <w:color w:val="auto"/>
          <w:sz w:val="44"/>
          <w:szCs w:val="44"/>
          <w:highlight w:val="none"/>
        </w:rPr>
        <w:t>第三章  资格审查及评标</w:t>
      </w:r>
      <w:bookmarkEnd w:id="116"/>
      <w:bookmarkEnd w:id="117"/>
      <w:bookmarkEnd w:id="119"/>
      <w:r>
        <w:rPr>
          <w:rFonts w:hint="eastAsia" w:ascii="Calibri" w:hAnsi="Calibri" w:eastAsia="宋体" w:cs="Times New Roman"/>
          <w:b/>
          <w:color w:val="auto"/>
          <w:sz w:val="44"/>
          <w:szCs w:val="44"/>
          <w:highlight w:val="none"/>
        </w:rPr>
        <w:t>方法</w:t>
      </w:r>
    </w:p>
    <w:p w14:paraId="4F9C4C84">
      <w:pPr>
        <w:spacing w:line="480" w:lineRule="exact"/>
        <w:ind w:firstLine="482" w:firstLineChars="200"/>
        <w:jc w:val="left"/>
        <w:rPr>
          <w:rFonts w:ascii="Times New Roman" w:hAnsi="Times New Roman" w:cs="仿宋"/>
          <w:b/>
          <w:bCs/>
          <w:color w:val="auto"/>
          <w:sz w:val="24"/>
          <w:highlight w:val="none"/>
        </w:rPr>
      </w:pPr>
      <w:r>
        <w:rPr>
          <w:rFonts w:hint="eastAsia" w:ascii="Times New Roman" w:hAnsi="Times New Roman" w:cs="仿宋"/>
          <w:b/>
          <w:bCs/>
          <w:color w:val="auto"/>
          <w:sz w:val="24"/>
          <w:highlight w:val="none"/>
        </w:rPr>
        <w:t>一、资格审查</w:t>
      </w:r>
    </w:p>
    <w:p w14:paraId="07D1F41F">
      <w:pPr>
        <w:spacing w:line="480" w:lineRule="exact"/>
        <w:ind w:firstLine="480" w:firstLineChars="200"/>
        <w:jc w:val="left"/>
        <w:rPr>
          <w:rFonts w:hint="eastAsia" w:ascii="Times New Roman" w:hAnsi="Times New Roman" w:cs="仿宋"/>
          <w:color w:val="auto"/>
          <w:sz w:val="24"/>
          <w:highlight w:val="none"/>
        </w:rPr>
      </w:pPr>
      <w:r>
        <w:rPr>
          <w:rFonts w:hint="eastAsia"/>
          <w:color w:val="auto"/>
          <w:sz w:val="24"/>
          <w:szCs w:val="28"/>
          <w:highlight w:val="none"/>
        </w:rPr>
        <w:t>资格审查人员按照下列指标对各投标人的资格进行审查，未通过审查的为无效标，不参与评标。</w:t>
      </w:r>
    </w:p>
    <w:tbl>
      <w:tblPr>
        <w:tblStyle w:val="53"/>
        <w:tblW w:w="8668" w:type="dxa"/>
        <w:tblInd w:w="-7"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4422"/>
        <w:gridCol w:w="4246"/>
      </w:tblGrid>
      <w:tr w14:paraId="3EDF0296">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422" w:type="dxa"/>
            <w:tcBorders>
              <w:top w:val="single" w:color="auto" w:sz="6" w:space="0"/>
              <w:left w:val="single" w:color="auto" w:sz="6" w:space="0"/>
              <w:bottom w:val="single" w:color="auto" w:sz="6" w:space="0"/>
              <w:right w:val="single" w:color="auto" w:sz="6" w:space="0"/>
            </w:tcBorders>
            <w:noWrap w:val="0"/>
            <w:vAlign w:val="center"/>
          </w:tcPr>
          <w:p w14:paraId="4D71A699">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资格审查因素</w:t>
            </w:r>
          </w:p>
        </w:tc>
        <w:tc>
          <w:tcPr>
            <w:tcW w:w="4246" w:type="dxa"/>
            <w:tcBorders>
              <w:top w:val="single" w:color="auto" w:sz="6" w:space="0"/>
              <w:left w:val="single" w:color="auto" w:sz="6" w:space="0"/>
              <w:bottom w:val="single" w:color="auto" w:sz="6" w:space="0"/>
              <w:right w:val="single" w:color="auto" w:sz="6" w:space="0"/>
            </w:tcBorders>
            <w:noWrap w:val="0"/>
            <w:vAlign w:val="center"/>
          </w:tcPr>
          <w:p w14:paraId="004B6356">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审查标准</w:t>
            </w:r>
          </w:p>
        </w:tc>
      </w:tr>
      <w:tr w14:paraId="7F247C1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422" w:type="dxa"/>
            <w:tcBorders>
              <w:top w:val="single" w:color="auto" w:sz="6" w:space="0"/>
              <w:left w:val="single" w:color="auto" w:sz="6" w:space="0"/>
              <w:bottom w:val="single" w:color="auto" w:sz="6" w:space="0"/>
              <w:right w:val="single" w:color="auto" w:sz="6" w:space="0"/>
            </w:tcBorders>
            <w:noWrap w:val="0"/>
            <w:vAlign w:val="center"/>
          </w:tcPr>
          <w:p w14:paraId="0F3E88C0">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投标声明及承诺函</w:t>
            </w:r>
          </w:p>
        </w:tc>
        <w:tc>
          <w:tcPr>
            <w:tcW w:w="4246" w:type="dxa"/>
            <w:tcBorders>
              <w:top w:val="single" w:color="auto" w:sz="6" w:space="0"/>
              <w:left w:val="single" w:color="auto" w:sz="6" w:space="0"/>
              <w:bottom w:val="single" w:color="auto" w:sz="6" w:space="0"/>
              <w:right w:val="single" w:color="auto" w:sz="6" w:space="0"/>
            </w:tcBorders>
            <w:noWrap w:val="0"/>
            <w:vAlign w:val="center"/>
          </w:tcPr>
          <w:p w14:paraId="6FC2C889">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符合招标文件要求</w:t>
            </w:r>
          </w:p>
        </w:tc>
      </w:tr>
      <w:tr w14:paraId="4B6ABB3E">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422" w:type="dxa"/>
            <w:tcBorders>
              <w:top w:val="single" w:color="auto" w:sz="6" w:space="0"/>
              <w:left w:val="single" w:color="auto" w:sz="6" w:space="0"/>
              <w:bottom w:val="single" w:color="auto" w:sz="6" w:space="0"/>
              <w:right w:val="single" w:color="auto" w:sz="6" w:space="0"/>
            </w:tcBorders>
            <w:noWrap w:val="0"/>
            <w:vAlign w:val="center"/>
          </w:tcPr>
          <w:p w14:paraId="03D87EC1">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信用信息</w:t>
            </w:r>
          </w:p>
        </w:tc>
        <w:tc>
          <w:tcPr>
            <w:tcW w:w="4246" w:type="dxa"/>
            <w:tcBorders>
              <w:top w:val="single" w:color="auto" w:sz="6" w:space="0"/>
              <w:left w:val="single" w:color="auto" w:sz="6" w:space="0"/>
              <w:bottom w:val="single" w:color="auto" w:sz="6" w:space="0"/>
              <w:right w:val="single" w:color="auto" w:sz="6" w:space="0"/>
            </w:tcBorders>
            <w:noWrap w:val="0"/>
            <w:vAlign w:val="center"/>
          </w:tcPr>
          <w:p w14:paraId="00AFC42F">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符合招标文件要求</w:t>
            </w:r>
          </w:p>
        </w:tc>
      </w:tr>
      <w:tr w14:paraId="340702B0">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422" w:type="dxa"/>
            <w:tcBorders>
              <w:top w:val="single" w:color="auto" w:sz="6" w:space="0"/>
              <w:left w:val="single" w:color="auto" w:sz="6" w:space="0"/>
              <w:bottom w:val="single" w:color="auto" w:sz="6" w:space="0"/>
              <w:right w:val="single" w:color="auto" w:sz="6" w:space="0"/>
            </w:tcBorders>
            <w:noWrap w:val="0"/>
            <w:vAlign w:val="center"/>
          </w:tcPr>
          <w:p w14:paraId="6382F8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仿宋"/>
                <w:color w:val="auto"/>
                <w:highlight w:val="yellow"/>
                <w:lang w:val="en-US" w:eastAsia="zh-CN"/>
              </w:rPr>
            </w:pPr>
            <w:r>
              <w:rPr>
                <w:rFonts w:hint="eastAsia" w:ascii="Times New Roman" w:hAnsi="Times New Roman" w:eastAsia="宋体" w:cs="仿宋"/>
                <w:color w:val="auto"/>
                <w:highlight w:val="yellow"/>
              </w:rPr>
              <w:t>中小企业或残疾人福利性单位声明函，或监狱企业证明文件</w:t>
            </w:r>
          </w:p>
        </w:tc>
        <w:tc>
          <w:tcPr>
            <w:tcW w:w="4246" w:type="dxa"/>
            <w:tcBorders>
              <w:top w:val="single" w:color="auto" w:sz="6" w:space="0"/>
              <w:left w:val="single" w:color="auto" w:sz="6" w:space="0"/>
              <w:bottom w:val="single" w:color="auto" w:sz="6" w:space="0"/>
              <w:right w:val="single" w:color="auto" w:sz="6" w:space="0"/>
            </w:tcBorders>
            <w:noWrap w:val="0"/>
            <w:vAlign w:val="center"/>
          </w:tcPr>
          <w:p w14:paraId="4886B8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仿宋"/>
                <w:color w:val="auto"/>
                <w:highlight w:val="yellow"/>
                <w:lang w:val="en-US" w:eastAsia="zh-CN"/>
              </w:rPr>
            </w:pPr>
            <w:r>
              <w:rPr>
                <w:rFonts w:hint="eastAsia" w:ascii="Times New Roman" w:hAnsi="Times New Roman" w:eastAsia="宋体" w:cs="仿宋"/>
                <w:color w:val="auto"/>
                <w:highlight w:val="yellow"/>
              </w:rPr>
              <w:t>符合</w:t>
            </w:r>
            <w:r>
              <w:rPr>
                <w:rFonts w:hint="eastAsia" w:ascii="Times New Roman" w:hAnsi="Times New Roman" w:eastAsia="宋体" w:cs="仿宋"/>
                <w:color w:val="auto"/>
                <w:highlight w:val="yellow"/>
                <w:lang w:val="en-US" w:eastAsia="zh-CN"/>
              </w:rPr>
              <w:t>招标</w:t>
            </w:r>
            <w:r>
              <w:rPr>
                <w:rFonts w:hint="eastAsia" w:ascii="Times New Roman" w:hAnsi="Times New Roman" w:eastAsia="宋体" w:cs="仿宋"/>
                <w:color w:val="auto"/>
                <w:highlight w:val="yellow"/>
              </w:rPr>
              <w:t>文件要求</w:t>
            </w:r>
          </w:p>
        </w:tc>
      </w:tr>
    </w:tbl>
    <w:p w14:paraId="1662C7D3">
      <w:pPr>
        <w:spacing w:line="480" w:lineRule="exact"/>
        <w:ind w:firstLine="482" w:firstLineChars="200"/>
        <w:jc w:val="left"/>
        <w:rPr>
          <w:rFonts w:ascii="Times New Roman" w:hAnsi="Times New Roman" w:cs="仿宋"/>
          <w:b/>
          <w:bCs/>
          <w:color w:val="auto"/>
          <w:sz w:val="24"/>
          <w:highlight w:val="none"/>
        </w:rPr>
      </w:pPr>
      <w:r>
        <w:rPr>
          <w:rFonts w:hint="eastAsia" w:ascii="Times New Roman" w:hAnsi="Times New Roman" w:cs="仿宋"/>
          <w:b/>
          <w:bCs/>
          <w:color w:val="auto"/>
          <w:sz w:val="24"/>
          <w:highlight w:val="none"/>
        </w:rPr>
        <w:t>二、符合性审查</w:t>
      </w:r>
    </w:p>
    <w:p w14:paraId="3C632D4A">
      <w:pPr>
        <w:spacing w:line="480" w:lineRule="exact"/>
        <w:ind w:firstLine="480" w:firstLineChars="200"/>
        <w:jc w:val="left"/>
        <w:rPr>
          <w:rFonts w:ascii="方正仿宋_GBK" w:eastAsia="方正仿宋_GBK"/>
          <w:color w:val="auto"/>
          <w:sz w:val="24"/>
          <w:highlight w:val="none"/>
        </w:rPr>
      </w:pPr>
      <w:r>
        <w:rPr>
          <w:rFonts w:hint="eastAsia"/>
          <w:color w:val="auto"/>
          <w:sz w:val="24"/>
          <w:szCs w:val="28"/>
          <w:highlight w:val="none"/>
        </w:rPr>
        <w:t>评标委员会对符合资格的投标人的投标文件进行符合性审查，未通过审查的为无效标，不再参与评审。</w:t>
      </w:r>
    </w:p>
    <w:tbl>
      <w:tblPr>
        <w:tblStyle w:val="53"/>
        <w:tblW w:w="8668" w:type="dxa"/>
        <w:tblInd w:w="-7"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4364"/>
        <w:gridCol w:w="4304"/>
      </w:tblGrid>
      <w:tr w14:paraId="578E2EBB">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noWrap w:val="0"/>
            <w:vAlign w:val="center"/>
          </w:tcPr>
          <w:p w14:paraId="38E31F10">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符合性审查因素</w:t>
            </w:r>
          </w:p>
        </w:tc>
        <w:tc>
          <w:tcPr>
            <w:tcW w:w="4304" w:type="dxa"/>
            <w:tcBorders>
              <w:top w:val="single" w:color="auto" w:sz="6" w:space="0"/>
              <w:left w:val="single" w:color="auto" w:sz="6" w:space="0"/>
              <w:bottom w:val="single" w:color="auto" w:sz="6" w:space="0"/>
              <w:right w:val="single" w:color="auto" w:sz="6" w:space="0"/>
            </w:tcBorders>
            <w:noWrap w:val="0"/>
            <w:vAlign w:val="center"/>
          </w:tcPr>
          <w:p w14:paraId="565A1BDA">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审查标准</w:t>
            </w:r>
          </w:p>
        </w:tc>
      </w:tr>
      <w:tr w14:paraId="5A7F50CC">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noWrap w:val="0"/>
            <w:vAlign w:val="center"/>
          </w:tcPr>
          <w:p w14:paraId="6B4D2030">
            <w:pPr>
              <w:spacing w:line="480" w:lineRule="exact"/>
              <w:jc w:val="center"/>
              <w:rPr>
                <w:rFonts w:ascii="Times New Roman" w:hAnsi="Times New Roman" w:cs="仿宋"/>
                <w:color w:val="auto"/>
                <w:highlight w:val="none"/>
              </w:rPr>
            </w:pPr>
            <w:r>
              <w:rPr>
                <w:rFonts w:hint="eastAsia" w:ascii="Times New Roman" w:hAnsi="Times New Roman" w:cs="仿宋"/>
                <w:color w:val="auto"/>
                <w:highlight w:val="none"/>
              </w:rPr>
              <w:t>法人授权书</w:t>
            </w:r>
          </w:p>
        </w:tc>
        <w:tc>
          <w:tcPr>
            <w:tcW w:w="4304" w:type="dxa"/>
            <w:tcBorders>
              <w:top w:val="single" w:color="auto" w:sz="6" w:space="0"/>
              <w:left w:val="single" w:color="auto" w:sz="6" w:space="0"/>
              <w:bottom w:val="single" w:color="auto" w:sz="6" w:space="0"/>
              <w:right w:val="single" w:color="auto" w:sz="6" w:space="0"/>
            </w:tcBorders>
            <w:noWrap w:val="0"/>
            <w:vAlign w:val="center"/>
          </w:tcPr>
          <w:p w14:paraId="1A6929C9">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符合招标文件要求</w:t>
            </w:r>
          </w:p>
        </w:tc>
      </w:tr>
      <w:tr w14:paraId="1F39D8D4">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c>
          <w:tcPr>
            <w:tcW w:w="4364" w:type="dxa"/>
            <w:tcBorders>
              <w:top w:val="single" w:color="auto" w:sz="6" w:space="0"/>
              <w:left w:val="single" w:color="auto" w:sz="6" w:space="0"/>
              <w:bottom w:val="single" w:color="auto" w:sz="6" w:space="0"/>
              <w:right w:val="single" w:color="auto" w:sz="6" w:space="0"/>
            </w:tcBorders>
            <w:noWrap w:val="0"/>
            <w:vAlign w:val="center"/>
          </w:tcPr>
          <w:p w14:paraId="049A27F3">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其他</w:t>
            </w:r>
          </w:p>
        </w:tc>
        <w:tc>
          <w:tcPr>
            <w:tcW w:w="4304" w:type="dxa"/>
            <w:tcBorders>
              <w:top w:val="single" w:color="auto" w:sz="6" w:space="0"/>
              <w:left w:val="single" w:color="auto" w:sz="6" w:space="0"/>
              <w:bottom w:val="single" w:color="auto" w:sz="6" w:space="0"/>
              <w:right w:val="single" w:color="auto" w:sz="6" w:space="0"/>
            </w:tcBorders>
            <w:noWrap w:val="0"/>
            <w:vAlign w:val="center"/>
          </w:tcPr>
          <w:p w14:paraId="3676252A">
            <w:pPr>
              <w:spacing w:line="480" w:lineRule="exact"/>
              <w:jc w:val="center"/>
              <w:rPr>
                <w:rFonts w:hint="eastAsia" w:ascii="Times New Roman" w:hAnsi="Times New Roman" w:cs="仿宋"/>
                <w:color w:val="auto"/>
                <w:highlight w:val="none"/>
              </w:rPr>
            </w:pPr>
            <w:r>
              <w:rPr>
                <w:rFonts w:hint="eastAsia" w:ascii="Times New Roman" w:hAnsi="Times New Roman" w:cs="仿宋"/>
                <w:color w:val="auto"/>
                <w:highlight w:val="none"/>
              </w:rPr>
              <w:t>符合招标文件要求</w:t>
            </w:r>
          </w:p>
        </w:tc>
      </w:tr>
    </w:tbl>
    <w:p w14:paraId="604DDF84">
      <w:pPr>
        <w:spacing w:line="480" w:lineRule="exact"/>
        <w:ind w:firstLine="482" w:firstLineChars="200"/>
        <w:jc w:val="left"/>
        <w:rPr>
          <w:rFonts w:ascii="Times New Roman" w:hAnsi="Times New Roman" w:cs="仿宋"/>
          <w:b/>
          <w:bCs/>
          <w:color w:val="auto"/>
          <w:sz w:val="24"/>
          <w:highlight w:val="none"/>
        </w:rPr>
      </w:pPr>
      <w:r>
        <w:rPr>
          <w:rFonts w:hint="eastAsia" w:ascii="Times New Roman" w:hAnsi="Times New Roman" w:cs="仿宋"/>
          <w:b/>
          <w:bCs/>
          <w:color w:val="auto"/>
          <w:sz w:val="24"/>
          <w:highlight w:val="none"/>
        </w:rPr>
        <w:t>三、评标方法</w:t>
      </w:r>
    </w:p>
    <w:p w14:paraId="0533E0EA">
      <w:pPr>
        <w:spacing w:line="480" w:lineRule="exact"/>
        <w:ind w:firstLine="480" w:firstLineChars="200"/>
        <w:jc w:val="left"/>
        <w:rPr>
          <w:rFonts w:ascii="Times New Roman" w:hAnsi="Times New Roman" w:cs="仿宋"/>
          <w:color w:val="auto"/>
          <w:sz w:val="24"/>
          <w:highlight w:val="none"/>
        </w:rPr>
      </w:pPr>
      <w:r>
        <w:rPr>
          <w:rFonts w:hint="eastAsia"/>
          <w:color w:val="auto"/>
          <w:sz w:val="24"/>
          <w:szCs w:val="28"/>
          <w:highlight w:val="none"/>
        </w:rPr>
        <w:t>本项目采用综合评分法，评标结果按评审后得分由高到低顺序排列。得分相同的，按投标报价由低到高顺序排序。得分且投标报价相同的并列。</w:t>
      </w:r>
    </w:p>
    <w:p w14:paraId="0B116648">
      <w:pPr>
        <w:spacing w:line="480" w:lineRule="exact"/>
        <w:ind w:firstLine="480" w:firstLineChars="200"/>
        <w:jc w:val="left"/>
        <w:rPr>
          <w:rFonts w:ascii="Times New Roman" w:hAnsi="Times New Roman" w:cs="仿宋"/>
          <w:color w:val="auto"/>
          <w:sz w:val="24"/>
          <w:highlight w:val="none"/>
        </w:rPr>
      </w:pPr>
      <w:r>
        <w:rPr>
          <w:rFonts w:hint="eastAsia" w:ascii="Times New Roman" w:hAnsi="Times New Roman" w:cs="仿宋"/>
          <w:color w:val="auto"/>
          <w:sz w:val="24"/>
          <w:highlight w:val="none"/>
        </w:rPr>
        <w:t>综合评分保留至小数点后两位。</w:t>
      </w:r>
    </w:p>
    <w:p w14:paraId="26CEDF0F">
      <w:pPr>
        <w:spacing w:line="480" w:lineRule="exact"/>
        <w:ind w:firstLine="480" w:firstLineChars="200"/>
        <w:jc w:val="left"/>
        <w:rPr>
          <w:rFonts w:hint="eastAsia" w:ascii="Times New Roman" w:hAnsi="Times New Roman" w:cs="仿宋"/>
          <w:color w:val="auto"/>
          <w:sz w:val="24"/>
          <w:highlight w:val="none"/>
        </w:rPr>
      </w:pPr>
      <w:r>
        <w:rPr>
          <w:rFonts w:hint="eastAsia" w:ascii="Times New Roman" w:hAnsi="Times New Roman" w:cs="仿宋"/>
          <w:color w:val="auto"/>
          <w:sz w:val="24"/>
          <w:highlight w:val="none"/>
        </w:rPr>
        <w:t>评标委员会根据评标后投标人排序推荐中标候选人，并形成评标报告。</w:t>
      </w:r>
    </w:p>
    <w:p w14:paraId="1A4CF761">
      <w:pPr>
        <w:spacing w:line="480" w:lineRule="exact"/>
        <w:ind w:firstLine="482" w:firstLineChars="200"/>
        <w:jc w:val="left"/>
        <w:rPr>
          <w:rFonts w:hint="eastAsia" w:ascii="Times New Roman" w:hAnsi="Times New Roman" w:cs="仿宋"/>
          <w:b/>
          <w:bCs/>
          <w:color w:val="auto"/>
          <w:sz w:val="24"/>
          <w:highlight w:val="none"/>
        </w:rPr>
      </w:pPr>
      <w:r>
        <w:rPr>
          <w:rFonts w:hint="eastAsia" w:ascii="Times New Roman" w:hAnsi="Times New Roman" w:cs="仿宋"/>
          <w:b/>
          <w:bCs/>
          <w:color w:val="auto"/>
          <w:sz w:val="24"/>
          <w:highlight w:val="none"/>
        </w:rPr>
        <w:t>四、评标标准</w:t>
      </w:r>
    </w:p>
    <w:tbl>
      <w:tblPr>
        <w:tblStyle w:val="53"/>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114"/>
        <w:gridCol w:w="6431"/>
      </w:tblGrid>
      <w:tr w14:paraId="45755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405" w:type="dxa"/>
            <w:noWrap w:val="0"/>
            <w:vAlign w:val="center"/>
          </w:tcPr>
          <w:p w14:paraId="3FA25EE3">
            <w:pPr>
              <w:widowControl/>
              <w:spacing w:line="360" w:lineRule="exact"/>
              <w:jc w:val="center"/>
              <w:rPr>
                <w:rFonts w:hint="eastAsia" w:ascii="Times New Roman" w:hAnsi="Times New Roman" w:cs="宋体"/>
                <w:color w:val="auto"/>
                <w:sz w:val="24"/>
                <w:szCs w:val="24"/>
                <w:highlight w:val="none"/>
              </w:rPr>
            </w:pPr>
            <w:bookmarkStart w:id="120" w:name="RANGE!A1"/>
            <w:r>
              <w:rPr>
                <w:rFonts w:hint="eastAsia" w:ascii="Times New Roman" w:hAnsi="Times New Roman" w:cs="宋体"/>
                <w:color w:val="auto"/>
                <w:sz w:val="24"/>
                <w:szCs w:val="24"/>
                <w:highlight w:val="none"/>
              </w:rPr>
              <w:t>评审因素</w:t>
            </w:r>
            <w:bookmarkEnd w:id="120"/>
          </w:p>
        </w:tc>
        <w:tc>
          <w:tcPr>
            <w:tcW w:w="1114" w:type="dxa"/>
            <w:noWrap w:val="0"/>
            <w:vAlign w:val="center"/>
          </w:tcPr>
          <w:p w14:paraId="019BB716">
            <w:pPr>
              <w:widowControl/>
              <w:spacing w:line="36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分数</w:t>
            </w:r>
          </w:p>
        </w:tc>
        <w:tc>
          <w:tcPr>
            <w:tcW w:w="6431" w:type="dxa"/>
            <w:noWrap w:val="0"/>
            <w:vAlign w:val="center"/>
          </w:tcPr>
          <w:p w14:paraId="3321245E">
            <w:pPr>
              <w:widowControl/>
              <w:spacing w:line="36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评审标准</w:t>
            </w:r>
          </w:p>
        </w:tc>
      </w:tr>
      <w:tr w14:paraId="7860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405" w:type="dxa"/>
            <w:noWrap w:val="0"/>
            <w:vAlign w:val="center"/>
          </w:tcPr>
          <w:p w14:paraId="4C4B2DE8">
            <w:pPr>
              <w:widowControl/>
              <w:spacing w:line="360" w:lineRule="exact"/>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投标报价</w:t>
            </w:r>
          </w:p>
        </w:tc>
        <w:tc>
          <w:tcPr>
            <w:tcW w:w="1114" w:type="dxa"/>
            <w:noWrap w:val="0"/>
            <w:vAlign w:val="center"/>
          </w:tcPr>
          <w:p w14:paraId="5169CDA7">
            <w:pPr>
              <w:widowControl/>
              <w:spacing w:line="360" w:lineRule="exact"/>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30.00分</w:t>
            </w:r>
          </w:p>
        </w:tc>
        <w:tc>
          <w:tcPr>
            <w:tcW w:w="6431" w:type="dxa"/>
            <w:noWrap w:val="0"/>
            <w:vAlign w:val="center"/>
          </w:tcPr>
          <w:p w14:paraId="24783003">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采用低价优先法计算，即满足招标文件要求且投标价格最低的投标报价为评标基准价，其价格分为满分。其他投标人投标报价得分＝（评标基准价/投标报价）*30。</w:t>
            </w:r>
          </w:p>
        </w:tc>
      </w:tr>
      <w:tr w14:paraId="0154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405" w:type="dxa"/>
            <w:noWrap w:val="0"/>
            <w:vAlign w:val="center"/>
          </w:tcPr>
          <w:p w14:paraId="0917603F">
            <w:pPr>
              <w:widowControl/>
              <w:spacing w:line="360" w:lineRule="exact"/>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技术响应</w:t>
            </w:r>
          </w:p>
        </w:tc>
        <w:tc>
          <w:tcPr>
            <w:tcW w:w="1114" w:type="dxa"/>
            <w:noWrap w:val="0"/>
            <w:vAlign w:val="center"/>
          </w:tcPr>
          <w:p w14:paraId="57AD0A75">
            <w:pPr>
              <w:widowControl/>
              <w:spacing w:line="360" w:lineRule="exact"/>
              <w:jc w:val="center"/>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en-US" w:eastAsia="zh-CN"/>
              </w:rPr>
              <w:t>30</w:t>
            </w:r>
            <w:r>
              <w:rPr>
                <w:rFonts w:hint="eastAsia" w:ascii="Times New Roman" w:hAnsi="Times New Roman" w:eastAsia="宋体" w:cs="宋体"/>
                <w:color w:val="auto"/>
                <w:sz w:val="24"/>
                <w:szCs w:val="24"/>
                <w:highlight w:val="none"/>
              </w:rPr>
              <w:t>.00分</w:t>
            </w:r>
          </w:p>
        </w:tc>
        <w:tc>
          <w:tcPr>
            <w:tcW w:w="6431" w:type="dxa"/>
            <w:noWrap w:val="0"/>
            <w:vAlign w:val="center"/>
          </w:tcPr>
          <w:p w14:paraId="477C9B22">
            <w:pPr>
              <w:widowControl/>
              <w:spacing w:line="360" w:lineRule="exact"/>
              <w:jc w:val="left"/>
              <w:rPr>
                <w:rFonts w:hint="eastAsia" w:ascii="Times New Roman" w:hAnsi="Times New Roman" w:eastAsia="宋体" w:cs="宋体"/>
                <w:color w:val="auto"/>
                <w:sz w:val="24"/>
                <w:szCs w:val="24"/>
                <w:highlight w:val="none"/>
                <w:lang w:eastAsia="zh-CN"/>
              </w:rPr>
            </w:pPr>
            <w:r>
              <w:rPr>
                <w:rFonts w:hint="eastAsia" w:ascii="Times New Roman" w:hAnsi="Times New Roman" w:eastAsia="宋体" w:cs="宋体"/>
                <w:color w:val="auto"/>
                <w:sz w:val="24"/>
                <w:szCs w:val="24"/>
                <w:highlight w:val="none"/>
                <w:lang w:eastAsia="zh-CN"/>
              </w:rPr>
              <w:t>评委根据投标文件中技术参数响应情况进行打分。完全满足招标文件要求的得3</w:t>
            </w:r>
            <w:r>
              <w:rPr>
                <w:rFonts w:hint="eastAsia" w:ascii="Times New Roman" w:hAnsi="Times New Roman" w:eastAsia="宋体" w:cs="宋体"/>
                <w:color w:val="auto"/>
                <w:sz w:val="24"/>
                <w:szCs w:val="24"/>
                <w:highlight w:val="none"/>
                <w:lang w:val="en-US" w:eastAsia="zh-CN"/>
              </w:rPr>
              <w:t>0</w:t>
            </w:r>
            <w:r>
              <w:rPr>
                <w:rFonts w:hint="eastAsia" w:ascii="Times New Roman" w:hAnsi="Times New Roman" w:eastAsia="宋体" w:cs="宋体"/>
                <w:color w:val="auto"/>
                <w:sz w:val="24"/>
                <w:szCs w:val="24"/>
                <w:highlight w:val="none"/>
                <w:lang w:eastAsia="zh-CN"/>
              </w:rPr>
              <w:t>分。其中技术要求</w:t>
            </w:r>
            <w:r>
              <w:rPr>
                <w:rFonts w:hint="eastAsia" w:ascii="Times New Roman" w:hAnsi="Times New Roman" w:eastAsia="宋体" w:cs="宋体"/>
                <w:color w:val="auto"/>
                <w:sz w:val="24"/>
                <w:szCs w:val="24"/>
                <w:highlight w:val="none"/>
                <w:lang w:val="en-US" w:eastAsia="zh-CN"/>
              </w:rPr>
              <w:t>中</w:t>
            </w:r>
            <w:r>
              <w:rPr>
                <w:rFonts w:hint="eastAsia" w:ascii="Times New Roman" w:hAnsi="Times New Roman" w:eastAsia="宋体" w:cs="宋体"/>
                <w:color w:val="auto"/>
                <w:sz w:val="24"/>
                <w:szCs w:val="24"/>
                <w:highlight w:val="none"/>
                <w:lang w:eastAsia="zh-CN"/>
              </w:rPr>
              <w:t>标注“▲”的为重要参数，每有一项负偏离扣</w:t>
            </w:r>
            <w:r>
              <w:rPr>
                <w:rFonts w:hint="eastAsia" w:ascii="Times New Roman" w:hAnsi="Times New Roman" w:eastAsia="宋体" w:cs="宋体"/>
                <w:color w:val="auto"/>
                <w:sz w:val="24"/>
                <w:szCs w:val="24"/>
                <w:highlight w:val="none"/>
                <w:lang w:val="en-US" w:eastAsia="zh-CN"/>
              </w:rPr>
              <w:t>1.5</w:t>
            </w:r>
            <w:r>
              <w:rPr>
                <w:rFonts w:hint="eastAsia" w:ascii="Times New Roman" w:hAnsi="Times New Roman" w:eastAsia="宋体" w:cs="宋体"/>
                <w:color w:val="auto"/>
                <w:sz w:val="24"/>
                <w:szCs w:val="24"/>
                <w:highlight w:val="none"/>
                <w:lang w:eastAsia="zh-CN"/>
              </w:rPr>
              <w:t>分；其他非重要参数负偏离的，每项扣</w:t>
            </w:r>
            <w:r>
              <w:rPr>
                <w:rFonts w:hint="eastAsia" w:ascii="Times New Roman" w:hAnsi="Times New Roman" w:eastAsia="宋体" w:cs="宋体"/>
                <w:color w:val="auto"/>
                <w:sz w:val="24"/>
                <w:szCs w:val="24"/>
                <w:highlight w:val="none"/>
                <w:lang w:val="en-US" w:eastAsia="zh-CN"/>
              </w:rPr>
              <w:t>1</w:t>
            </w:r>
            <w:r>
              <w:rPr>
                <w:rFonts w:hint="eastAsia" w:ascii="Times New Roman" w:hAnsi="Times New Roman" w:eastAsia="宋体" w:cs="宋体"/>
                <w:color w:val="auto"/>
                <w:sz w:val="24"/>
                <w:szCs w:val="24"/>
                <w:highlight w:val="none"/>
                <w:lang w:eastAsia="zh-CN"/>
              </w:rPr>
              <w:t>分，扣完为止。</w:t>
            </w:r>
          </w:p>
          <w:p w14:paraId="63DA5FAF">
            <w:pPr>
              <w:widowControl/>
              <w:spacing w:line="360" w:lineRule="exact"/>
              <w:jc w:val="left"/>
              <w:rPr>
                <w:rFonts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备注：投标人须在技术条款偏离表中逐条进行应答，列明所投产品详细技术参数，并说明偏离情况。“▲”的参数</w:t>
            </w:r>
            <w:r>
              <w:rPr>
                <w:rFonts w:hint="eastAsia" w:ascii="Times New Roman" w:hAnsi="Times New Roman" w:cs="宋体"/>
                <w:color w:val="auto"/>
                <w:sz w:val="24"/>
                <w:szCs w:val="24"/>
                <w:highlight w:val="none"/>
                <w:lang w:eastAsia="zh-CN"/>
              </w:rPr>
              <w:t>提供</w:t>
            </w:r>
            <w:r>
              <w:rPr>
                <w:rFonts w:hint="eastAsia" w:ascii="Times New Roman" w:hAnsi="Times New Roman" w:eastAsia="宋体" w:cs="宋体"/>
                <w:color w:val="auto"/>
                <w:sz w:val="24"/>
                <w:szCs w:val="24"/>
                <w:highlight w:val="none"/>
                <w:lang w:val="en-US" w:eastAsia="zh-CN"/>
              </w:rPr>
              <w:t>环境监测仪器质量监督检验中心检测报告或省级及以上计量单位检测报告等证明材料</w:t>
            </w:r>
            <w:r>
              <w:rPr>
                <w:rFonts w:hint="eastAsia" w:ascii="Times New Roman" w:hAnsi="Times New Roman" w:eastAsia="宋体" w:cs="宋体"/>
                <w:color w:val="auto"/>
                <w:sz w:val="24"/>
                <w:szCs w:val="24"/>
                <w:highlight w:val="none"/>
                <w:lang w:eastAsia="zh-CN"/>
              </w:rPr>
              <w:t>，以佐证产品主要技术参数及功能，未提供或提供不全的视为不响应或负偏离扣分；其他参数未要求提供证明材料的，则以技术条款</w:t>
            </w:r>
            <w:r>
              <w:rPr>
                <w:rFonts w:hint="eastAsia" w:ascii="Times New Roman" w:hAnsi="Times New Roman" w:cs="宋体"/>
                <w:color w:val="auto"/>
                <w:sz w:val="24"/>
                <w:szCs w:val="24"/>
                <w:highlight w:val="none"/>
                <w:lang w:eastAsia="zh-CN"/>
              </w:rPr>
              <w:t>偏离</w:t>
            </w:r>
            <w:r>
              <w:rPr>
                <w:rFonts w:hint="eastAsia" w:ascii="Times New Roman" w:hAnsi="Times New Roman" w:eastAsia="宋体" w:cs="宋体"/>
                <w:color w:val="auto"/>
                <w:sz w:val="24"/>
                <w:szCs w:val="24"/>
                <w:highlight w:val="none"/>
                <w:lang w:eastAsia="zh-CN"/>
              </w:rPr>
              <w:t>应答为准。</w:t>
            </w:r>
          </w:p>
        </w:tc>
      </w:tr>
      <w:tr w14:paraId="4593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1405" w:type="dxa"/>
            <w:noWrap w:val="0"/>
            <w:vAlign w:val="center"/>
          </w:tcPr>
          <w:p w14:paraId="529EA69B">
            <w:pPr>
              <w:widowControl/>
              <w:spacing w:line="360" w:lineRule="exact"/>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企业</w:t>
            </w:r>
          </w:p>
          <w:p w14:paraId="5D667AD6">
            <w:pPr>
              <w:widowControl/>
              <w:spacing w:line="360" w:lineRule="exact"/>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业绩</w:t>
            </w:r>
          </w:p>
        </w:tc>
        <w:tc>
          <w:tcPr>
            <w:tcW w:w="1114" w:type="dxa"/>
            <w:noWrap w:val="0"/>
            <w:vAlign w:val="center"/>
          </w:tcPr>
          <w:p w14:paraId="08DE623B">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en-US" w:eastAsia="zh-CN"/>
              </w:rPr>
              <w:t>4</w:t>
            </w:r>
            <w:r>
              <w:rPr>
                <w:rFonts w:hint="eastAsia" w:ascii="Times New Roman" w:hAnsi="Times New Roman" w:eastAsia="宋体" w:cs="宋体"/>
                <w:color w:val="auto"/>
                <w:sz w:val="24"/>
                <w:szCs w:val="24"/>
                <w:highlight w:val="none"/>
              </w:rPr>
              <w:t>.00分</w:t>
            </w:r>
          </w:p>
        </w:tc>
        <w:tc>
          <w:tcPr>
            <w:tcW w:w="6431" w:type="dxa"/>
            <w:noWrap w:val="0"/>
            <w:vAlign w:val="center"/>
          </w:tcPr>
          <w:p w14:paraId="147A183E">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供应商自2021年1月1日以来（以合同签订时间为准）承担过类似项目业绩的，每有一个得</w:t>
            </w:r>
            <w:r>
              <w:rPr>
                <w:rFonts w:hint="eastAsia" w:ascii="Times New Roman" w:hAnsi="Times New Roman" w:eastAsia="宋体" w:cs="宋体"/>
                <w:color w:val="auto"/>
                <w:sz w:val="24"/>
                <w:szCs w:val="24"/>
                <w:highlight w:val="none"/>
                <w:lang w:val="en-US" w:eastAsia="zh-CN"/>
              </w:rPr>
              <w:t>2</w:t>
            </w:r>
            <w:r>
              <w:rPr>
                <w:rFonts w:hint="eastAsia" w:ascii="Times New Roman" w:hAnsi="Times New Roman" w:eastAsia="宋体" w:cs="宋体"/>
                <w:color w:val="auto"/>
                <w:sz w:val="24"/>
                <w:szCs w:val="24"/>
                <w:highlight w:val="none"/>
              </w:rPr>
              <w:t>分，最高得</w:t>
            </w:r>
            <w:r>
              <w:rPr>
                <w:rFonts w:hint="eastAsia" w:ascii="Times New Roman" w:hAnsi="Times New Roman" w:eastAsia="宋体" w:cs="宋体"/>
                <w:color w:val="auto"/>
                <w:sz w:val="24"/>
                <w:szCs w:val="24"/>
                <w:highlight w:val="none"/>
                <w:lang w:val="en-US" w:eastAsia="zh-CN"/>
              </w:rPr>
              <w:t>4</w:t>
            </w:r>
            <w:r>
              <w:rPr>
                <w:rFonts w:hint="eastAsia" w:ascii="Times New Roman" w:hAnsi="Times New Roman" w:eastAsia="宋体" w:cs="宋体"/>
                <w:color w:val="auto"/>
                <w:sz w:val="24"/>
                <w:szCs w:val="24"/>
                <w:highlight w:val="none"/>
              </w:rPr>
              <w:t>分。</w:t>
            </w:r>
          </w:p>
          <w:p w14:paraId="4BB0F35C">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注：1、</w:t>
            </w:r>
            <w:r>
              <w:rPr>
                <w:rFonts w:hint="eastAsia" w:ascii="Times New Roman" w:hAnsi="Times New Roman" w:eastAsia="宋体" w:cs="宋体"/>
                <w:color w:val="auto"/>
                <w:sz w:val="24"/>
                <w:szCs w:val="24"/>
                <w:highlight w:val="none"/>
                <w:lang w:val="en-US" w:eastAsia="zh-CN"/>
              </w:rPr>
              <w:t>提供</w:t>
            </w:r>
            <w:r>
              <w:rPr>
                <w:rFonts w:hint="eastAsia" w:ascii="Times New Roman" w:hAnsi="Times New Roman" w:eastAsia="宋体" w:cs="宋体"/>
                <w:color w:val="auto"/>
                <w:sz w:val="24"/>
                <w:szCs w:val="24"/>
                <w:highlight w:val="none"/>
              </w:rPr>
              <w:t>合同、验收证明材料电子件，未提供或提供不全不得分；2、中标人提供的</w:t>
            </w:r>
            <w:r>
              <w:rPr>
                <w:rFonts w:hint="eastAsia" w:ascii="Times New Roman" w:hAnsi="Times New Roman" w:eastAsia="宋体" w:cs="宋体"/>
                <w:color w:val="auto"/>
                <w:sz w:val="24"/>
                <w:szCs w:val="24"/>
                <w:highlight w:val="none"/>
                <w:lang w:val="en-US" w:eastAsia="zh-CN"/>
              </w:rPr>
              <w:t>有关</w:t>
            </w:r>
            <w:r>
              <w:rPr>
                <w:rFonts w:hint="eastAsia" w:ascii="Times New Roman" w:hAnsi="Times New Roman" w:eastAsia="宋体" w:cs="宋体"/>
                <w:color w:val="auto"/>
                <w:sz w:val="24"/>
                <w:szCs w:val="24"/>
                <w:highlight w:val="none"/>
              </w:rPr>
              <w:t xml:space="preserve">业绩将随中标结果同步公开。 </w:t>
            </w:r>
          </w:p>
        </w:tc>
      </w:tr>
      <w:tr w14:paraId="270C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noWrap w:val="0"/>
            <w:vAlign w:val="center"/>
          </w:tcPr>
          <w:p w14:paraId="35E80A84">
            <w:pPr>
              <w:widowControl/>
              <w:spacing w:line="360" w:lineRule="exact"/>
              <w:jc w:val="center"/>
              <w:rPr>
                <w:rFonts w:hint="default" w:ascii="Times New Roman" w:hAnsi="Times New Roman" w:eastAsia="宋体" w:cs="宋体"/>
                <w:color w:val="auto"/>
                <w:sz w:val="24"/>
                <w:szCs w:val="24"/>
                <w:highlight w:val="none"/>
                <w:lang w:val="en-US" w:eastAsia="zh-CN"/>
              </w:rPr>
            </w:pPr>
            <w:r>
              <w:rPr>
                <w:rFonts w:hint="eastAsia" w:ascii="Times New Roman" w:hAnsi="Times New Roman" w:cs="宋体"/>
                <w:color w:val="auto"/>
                <w:sz w:val="24"/>
                <w:szCs w:val="24"/>
                <w:highlight w:val="none"/>
                <w:lang w:val="en-US" w:eastAsia="zh-CN"/>
              </w:rPr>
              <w:t>企业认证</w:t>
            </w:r>
          </w:p>
        </w:tc>
        <w:tc>
          <w:tcPr>
            <w:tcW w:w="1114" w:type="dxa"/>
            <w:noWrap w:val="0"/>
            <w:vAlign w:val="center"/>
          </w:tcPr>
          <w:p w14:paraId="237CAE11">
            <w:pPr>
              <w:widowControl/>
              <w:spacing w:line="360" w:lineRule="exact"/>
              <w:jc w:val="center"/>
              <w:rPr>
                <w:rFonts w:ascii="Times New Roman" w:hAnsi="Times New Roman" w:cs="宋体"/>
                <w:color w:val="auto"/>
                <w:sz w:val="24"/>
                <w:szCs w:val="24"/>
                <w:highlight w:val="none"/>
              </w:rPr>
            </w:pPr>
            <w:r>
              <w:rPr>
                <w:rFonts w:hint="eastAsia" w:ascii="Times New Roman" w:hAnsi="Times New Roman" w:cs="宋体"/>
                <w:color w:val="auto"/>
                <w:sz w:val="24"/>
                <w:szCs w:val="24"/>
                <w:highlight w:val="yellow"/>
              </w:rPr>
              <w:t>3.00</w:t>
            </w:r>
            <w:r>
              <w:rPr>
                <w:rFonts w:hint="eastAsia" w:ascii="Times New Roman" w:hAnsi="Times New Roman" w:cs="宋体"/>
                <w:color w:val="auto"/>
                <w:sz w:val="24"/>
                <w:szCs w:val="24"/>
                <w:highlight w:val="none"/>
              </w:rPr>
              <w:t>分</w:t>
            </w:r>
          </w:p>
        </w:tc>
        <w:tc>
          <w:tcPr>
            <w:tcW w:w="6431" w:type="dxa"/>
            <w:noWrap w:val="0"/>
            <w:vAlign w:val="center"/>
          </w:tcPr>
          <w:p w14:paraId="338EE75A">
            <w:pPr>
              <w:widowControl/>
              <w:spacing w:line="360" w:lineRule="exact"/>
              <w:jc w:val="left"/>
              <w:rPr>
                <w:rFonts w:hint="eastAsia" w:ascii="Times New Roman" w:hAnsi="Times New Roman" w:cs="宋体"/>
                <w:color w:val="auto"/>
                <w:sz w:val="24"/>
                <w:szCs w:val="24"/>
                <w:highlight w:val="none"/>
              </w:rPr>
            </w:pPr>
            <w:r>
              <w:rPr>
                <w:rFonts w:hint="eastAsia" w:ascii="Times New Roman" w:hAnsi="Times New Roman" w:cs="宋体"/>
                <w:color w:val="auto"/>
                <w:sz w:val="24"/>
                <w:szCs w:val="24"/>
                <w:highlight w:val="none"/>
              </w:rPr>
              <w:t>投标人具有有效期内的质量管理体系认证证书、环境管理体系认证证书、职业健康安全管理体系认证证书，每有一个证书得</w:t>
            </w:r>
            <w:r>
              <w:rPr>
                <w:rFonts w:hint="eastAsia" w:ascii="Times New Roman" w:hAnsi="Times New Roman" w:cs="宋体"/>
                <w:color w:val="auto"/>
                <w:sz w:val="24"/>
                <w:szCs w:val="24"/>
                <w:highlight w:val="yellow"/>
              </w:rPr>
              <w:t>1</w:t>
            </w:r>
            <w:r>
              <w:rPr>
                <w:rFonts w:hint="eastAsia" w:ascii="Times New Roman" w:hAnsi="Times New Roman" w:cs="宋体"/>
                <w:color w:val="auto"/>
                <w:sz w:val="24"/>
                <w:szCs w:val="24"/>
                <w:highlight w:val="none"/>
              </w:rPr>
              <w:t>分，最高得</w:t>
            </w:r>
            <w:r>
              <w:rPr>
                <w:rFonts w:hint="eastAsia" w:ascii="Times New Roman" w:hAnsi="Times New Roman" w:cs="宋体"/>
                <w:color w:val="auto"/>
                <w:sz w:val="24"/>
                <w:szCs w:val="24"/>
                <w:highlight w:val="yellow"/>
              </w:rPr>
              <w:t>3</w:t>
            </w:r>
            <w:r>
              <w:rPr>
                <w:rFonts w:hint="eastAsia" w:ascii="Times New Roman" w:hAnsi="Times New Roman" w:cs="宋体"/>
                <w:color w:val="auto"/>
                <w:sz w:val="24"/>
                <w:szCs w:val="24"/>
                <w:highlight w:val="none"/>
              </w:rPr>
              <w:t>分。</w:t>
            </w:r>
          </w:p>
          <w:p w14:paraId="02C354DD">
            <w:pPr>
              <w:widowControl/>
              <w:spacing w:line="360" w:lineRule="exact"/>
              <w:jc w:val="left"/>
              <w:rPr>
                <w:rFonts w:ascii="Times New Roman" w:hAnsi="Times New Roman" w:cs="宋体"/>
                <w:color w:val="auto"/>
                <w:sz w:val="24"/>
                <w:szCs w:val="24"/>
                <w:highlight w:val="none"/>
              </w:rPr>
            </w:pPr>
            <w:r>
              <w:rPr>
                <w:rFonts w:hint="eastAsia" w:ascii="Times New Roman" w:hAnsi="Times New Roman" w:cs="宋体"/>
                <w:color w:val="auto"/>
                <w:sz w:val="24"/>
                <w:szCs w:val="24"/>
                <w:highlight w:val="none"/>
              </w:rPr>
              <w:t>注： 注：1、投标文件中提供上述相关证书电子件和在国家市场监督管理总局全国认证认可信息公共服务平台查询认证有效的页面截图，未提供的不得分；2、中标人提供的</w:t>
            </w:r>
            <w:r>
              <w:rPr>
                <w:rFonts w:hint="eastAsia" w:ascii="Times New Roman" w:hAnsi="Times New Roman" w:cs="宋体"/>
                <w:color w:val="auto"/>
                <w:sz w:val="24"/>
                <w:szCs w:val="24"/>
                <w:highlight w:val="none"/>
                <w:lang w:val="en-US" w:eastAsia="zh-CN"/>
              </w:rPr>
              <w:t>有关</w:t>
            </w:r>
            <w:r>
              <w:rPr>
                <w:rFonts w:hint="eastAsia" w:ascii="Times New Roman" w:hAnsi="Times New Roman" w:cs="宋体"/>
                <w:color w:val="auto"/>
                <w:sz w:val="24"/>
                <w:szCs w:val="24"/>
                <w:highlight w:val="none"/>
              </w:rPr>
              <w:t>证书将随中标结果同步公开。</w:t>
            </w:r>
          </w:p>
        </w:tc>
      </w:tr>
      <w:tr w14:paraId="0019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vMerge w:val="restart"/>
            <w:noWrap w:val="0"/>
            <w:vAlign w:val="center"/>
          </w:tcPr>
          <w:p w14:paraId="3A5BFC07">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val="en-US" w:eastAsia="zh-CN"/>
              </w:rPr>
              <w:t>项目实施方案</w:t>
            </w:r>
          </w:p>
        </w:tc>
        <w:tc>
          <w:tcPr>
            <w:tcW w:w="1114" w:type="dxa"/>
            <w:noWrap w:val="0"/>
            <w:vAlign w:val="center"/>
          </w:tcPr>
          <w:p w14:paraId="0FAB8F4F">
            <w:pPr>
              <w:widowControl/>
              <w:spacing w:line="360" w:lineRule="exact"/>
              <w:jc w:val="left"/>
              <w:rPr>
                <w:rFonts w:hint="eastAsia" w:ascii="Times New Roman" w:hAnsi="Times New Roman" w:eastAsia="宋体" w:cs="宋体"/>
                <w:color w:val="auto"/>
                <w:sz w:val="24"/>
                <w:szCs w:val="24"/>
                <w:highlight w:val="none"/>
              </w:rPr>
            </w:pPr>
            <w:r>
              <w:rPr>
                <w:rFonts w:hint="eastAsia" w:ascii="Times New Roman" w:hAnsi="Times New Roman" w:cs="宋体"/>
                <w:color w:val="auto"/>
                <w:sz w:val="24"/>
                <w:szCs w:val="24"/>
                <w:highlight w:val="yellow"/>
                <w:lang w:val="en-US" w:eastAsia="zh-CN"/>
              </w:rPr>
              <w:t>8</w:t>
            </w:r>
            <w:r>
              <w:rPr>
                <w:rFonts w:hint="eastAsia" w:ascii="Times New Roman" w:hAnsi="Times New Roman" w:cs="宋体"/>
                <w:color w:val="auto"/>
                <w:sz w:val="24"/>
                <w:szCs w:val="24"/>
                <w:highlight w:val="yellow"/>
              </w:rPr>
              <w:t>.00</w:t>
            </w:r>
            <w:r>
              <w:rPr>
                <w:rFonts w:hint="eastAsia" w:ascii="Times New Roman" w:hAnsi="Times New Roman" w:cs="宋体"/>
                <w:color w:val="auto"/>
                <w:sz w:val="24"/>
                <w:szCs w:val="24"/>
                <w:highlight w:val="none"/>
              </w:rPr>
              <w:t>分</w:t>
            </w:r>
          </w:p>
        </w:tc>
        <w:tc>
          <w:tcPr>
            <w:tcW w:w="6431" w:type="dxa"/>
            <w:noWrap w:val="0"/>
            <w:vAlign w:val="center"/>
          </w:tcPr>
          <w:p w14:paraId="22D56796">
            <w:pPr>
              <w:widowControl/>
              <w:spacing w:line="360" w:lineRule="exact"/>
              <w:jc w:val="left"/>
              <w:rPr>
                <w:rFonts w:hint="eastAsia" w:ascii="宋体" w:hAnsi="宋体" w:eastAsia="宋体" w:cs="宋体"/>
                <w:sz w:val="24"/>
                <w:szCs w:val="24"/>
                <w:lang w:val="en-US" w:eastAsia="zh-CN"/>
              </w:rPr>
            </w:pPr>
            <w:r>
              <w:rPr>
                <w:rFonts w:hint="eastAsia" w:ascii="Times New Roman" w:hAnsi="Times New Roman" w:eastAsia="宋体" w:cs="宋体"/>
                <w:color w:val="auto"/>
                <w:sz w:val="24"/>
                <w:szCs w:val="24"/>
                <w:highlight w:val="none"/>
              </w:rPr>
              <w:t>评标委员会根据投标人提供的项目</w:t>
            </w:r>
            <w:r>
              <w:rPr>
                <w:rFonts w:hint="eastAsia" w:ascii="宋体" w:hAnsi="宋体" w:eastAsia="宋体" w:cs="宋体"/>
                <w:sz w:val="24"/>
                <w:szCs w:val="24"/>
                <w:lang w:val="zh-CN"/>
              </w:rPr>
              <w:t>集成、设备安装调试、验收、试运行方案</w:t>
            </w:r>
            <w:r>
              <w:rPr>
                <w:rFonts w:hint="eastAsia" w:ascii="宋体" w:hAnsi="宋体" w:eastAsia="宋体" w:cs="宋体"/>
                <w:sz w:val="24"/>
                <w:szCs w:val="24"/>
                <w:lang w:val="en-US" w:eastAsia="zh-CN"/>
              </w:rPr>
              <w:t>进行打分。</w:t>
            </w:r>
          </w:p>
          <w:p w14:paraId="5C218300">
            <w:pPr>
              <w:widowControl/>
              <w:spacing w:line="360" w:lineRule="exact"/>
              <w:jc w:val="left"/>
              <w:rPr>
                <w:rFonts w:hint="eastAsia" w:ascii="Times New Roman" w:hAnsi="Times New Roman" w:eastAsia="宋体" w:cs="宋体"/>
                <w:color w:val="auto"/>
                <w:sz w:val="24"/>
                <w:szCs w:val="24"/>
                <w:highlight w:val="none"/>
              </w:rPr>
            </w:pPr>
            <w:r>
              <w:rPr>
                <w:rFonts w:hint="default" w:ascii="Times New Roman" w:hAnsi="Times New Roman" w:eastAsia="宋体" w:cs="宋体"/>
                <w:color w:val="auto"/>
                <w:sz w:val="24"/>
                <w:szCs w:val="24"/>
                <w:highlight w:val="none"/>
              </w:rPr>
              <w:t>内容完整详实，能够针对采购需求内容要求而细化制定优于采购需求的，得8分；方案内容完整，针对采购需求内容要求而制定较齐全，内容表述有一定的偏差，但不影响实质性意思表达，能够满足采购需求的，得6分；方案内容笼统，不具有针对性，基本满足采购需求要求的，得4分；方案粗略、可操作性不强，承诺通过后期优化能够实现采购需求要求的得1分，没有内容或其他情况不得分。</w:t>
            </w:r>
          </w:p>
        </w:tc>
      </w:tr>
      <w:tr w14:paraId="662B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vMerge w:val="continue"/>
            <w:noWrap w:val="0"/>
            <w:vAlign w:val="center"/>
          </w:tcPr>
          <w:p w14:paraId="42649900">
            <w:pPr>
              <w:widowControl/>
              <w:spacing w:line="360" w:lineRule="exact"/>
              <w:jc w:val="left"/>
              <w:rPr>
                <w:rFonts w:hint="default" w:ascii="Times New Roman" w:hAnsi="Times New Roman" w:eastAsia="宋体" w:cs="宋体"/>
                <w:color w:val="auto"/>
                <w:sz w:val="24"/>
                <w:szCs w:val="24"/>
                <w:highlight w:val="none"/>
                <w:lang w:val="en-US" w:eastAsia="zh-CN"/>
              </w:rPr>
            </w:pPr>
            <w:bookmarkStart w:id="121" w:name="_Toc12255"/>
            <w:bookmarkStart w:id="122" w:name="_Toc81575168"/>
            <w:bookmarkStart w:id="123" w:name="_Toc2916"/>
            <w:bookmarkStart w:id="124" w:name="_Toc22314"/>
            <w:bookmarkStart w:id="125" w:name="_Toc81575205"/>
          </w:p>
        </w:tc>
        <w:tc>
          <w:tcPr>
            <w:tcW w:w="1114" w:type="dxa"/>
            <w:noWrap w:val="0"/>
            <w:vAlign w:val="center"/>
          </w:tcPr>
          <w:p w14:paraId="543D00A8">
            <w:pPr>
              <w:widowControl/>
              <w:spacing w:line="360" w:lineRule="exact"/>
              <w:jc w:val="left"/>
              <w:rPr>
                <w:rFonts w:hint="eastAsia" w:ascii="Times New Roman" w:hAnsi="Times New Roman" w:cs="宋体"/>
                <w:color w:val="auto"/>
                <w:sz w:val="24"/>
                <w:szCs w:val="24"/>
                <w:highlight w:val="yellow"/>
                <w:lang w:val="en-US" w:eastAsia="zh-CN"/>
              </w:rPr>
            </w:pPr>
            <w:r>
              <w:rPr>
                <w:rFonts w:hint="eastAsia" w:ascii="Times New Roman" w:hAnsi="Times New Roman" w:cs="宋体"/>
                <w:color w:val="auto"/>
                <w:sz w:val="24"/>
                <w:szCs w:val="24"/>
                <w:highlight w:val="yellow"/>
                <w:lang w:val="en-US" w:eastAsia="zh-CN"/>
              </w:rPr>
              <w:t>8</w:t>
            </w:r>
            <w:r>
              <w:rPr>
                <w:rFonts w:hint="eastAsia" w:ascii="Times New Roman" w:hAnsi="Times New Roman" w:cs="宋体"/>
                <w:color w:val="auto"/>
                <w:sz w:val="24"/>
                <w:szCs w:val="24"/>
                <w:highlight w:val="yellow"/>
              </w:rPr>
              <w:t>.00</w:t>
            </w:r>
            <w:r>
              <w:rPr>
                <w:rFonts w:hint="eastAsia" w:ascii="Times New Roman" w:hAnsi="Times New Roman" w:cs="宋体"/>
                <w:color w:val="auto"/>
                <w:sz w:val="24"/>
                <w:szCs w:val="24"/>
                <w:highlight w:val="none"/>
              </w:rPr>
              <w:t>分</w:t>
            </w:r>
          </w:p>
        </w:tc>
        <w:tc>
          <w:tcPr>
            <w:tcW w:w="6431" w:type="dxa"/>
            <w:noWrap w:val="0"/>
            <w:vAlign w:val="center"/>
          </w:tcPr>
          <w:p w14:paraId="73E99942">
            <w:pPr>
              <w:widowControl/>
              <w:spacing w:line="360" w:lineRule="exact"/>
              <w:jc w:val="left"/>
              <w:rPr>
                <w:rFonts w:hint="eastAsia" w:ascii="宋体" w:hAnsi="宋体" w:eastAsia="宋体" w:cs="宋体"/>
                <w:sz w:val="24"/>
                <w:szCs w:val="24"/>
                <w:lang w:val="zh-CN"/>
              </w:rPr>
            </w:pPr>
            <w:r>
              <w:rPr>
                <w:rFonts w:hint="eastAsia" w:ascii="宋体" w:hAnsi="宋体" w:eastAsia="宋体" w:cs="宋体"/>
                <w:sz w:val="24"/>
                <w:szCs w:val="24"/>
                <w:lang w:val="zh-CN"/>
              </w:rPr>
              <w:t>根据</w:t>
            </w:r>
            <w:r>
              <w:rPr>
                <w:rFonts w:hint="eastAsia" w:ascii="宋体" w:hAnsi="宋体" w:eastAsia="宋体" w:cs="宋体"/>
                <w:sz w:val="24"/>
                <w:szCs w:val="24"/>
                <w:lang w:val="zh-CN" w:eastAsia="zh-CN"/>
              </w:rPr>
              <w:t>投标人</w:t>
            </w:r>
            <w:r>
              <w:rPr>
                <w:rFonts w:hint="eastAsia" w:ascii="宋体" w:hAnsi="宋体" w:eastAsia="宋体" w:cs="宋体"/>
                <w:sz w:val="24"/>
                <w:szCs w:val="24"/>
                <w:lang w:val="zh-CN"/>
              </w:rPr>
              <w:t>针对本项目提供的技术服务方案，包括运行维护、数据审核、质控方案、应急方案，等内容进行综合评分：</w:t>
            </w:r>
          </w:p>
          <w:p w14:paraId="59534452">
            <w:pPr>
              <w:widowControl/>
              <w:spacing w:line="360" w:lineRule="exact"/>
              <w:jc w:val="left"/>
              <w:rPr>
                <w:rFonts w:hint="eastAsia" w:ascii="宋体" w:hAnsi="宋体" w:eastAsia="宋体" w:cs="宋体"/>
                <w:sz w:val="24"/>
                <w:szCs w:val="24"/>
                <w:lang w:val="zh-CN"/>
              </w:rPr>
            </w:pPr>
            <w:r>
              <w:rPr>
                <w:rFonts w:hint="default" w:ascii="Times New Roman" w:hAnsi="Times New Roman" w:eastAsia="宋体" w:cs="宋体"/>
                <w:color w:val="auto"/>
                <w:sz w:val="24"/>
                <w:szCs w:val="24"/>
                <w:highlight w:val="none"/>
              </w:rPr>
              <w:t>内容完整详实，能够针对采购需求内容要求而细化制定优于采购需求的，得8分；方案内容完整，针对采购需求内容要求而制定较齐全，内容表述有一定的偏差，但不影响实质性意思表达，能够满足采购需求的，得6分；方案内容笼统，不具有针对性，基本满足采购需求要求的，得4分；方案粗略、可操作性不强，承诺通过后期优化能够实现采购需求要求的得1分，没有内容或其他情况不得分。</w:t>
            </w:r>
          </w:p>
        </w:tc>
      </w:tr>
      <w:tr w14:paraId="011F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vMerge w:val="continue"/>
            <w:noWrap w:val="0"/>
            <w:vAlign w:val="center"/>
          </w:tcPr>
          <w:p w14:paraId="127262E6">
            <w:pPr>
              <w:widowControl/>
              <w:spacing w:line="360" w:lineRule="exact"/>
              <w:jc w:val="left"/>
              <w:rPr>
                <w:rFonts w:hint="default" w:ascii="Times New Roman" w:hAnsi="Times New Roman" w:eastAsia="宋体" w:cs="宋体"/>
                <w:color w:val="auto"/>
                <w:sz w:val="24"/>
                <w:szCs w:val="24"/>
                <w:highlight w:val="none"/>
                <w:lang w:val="en-US" w:eastAsia="zh-CN"/>
              </w:rPr>
            </w:pPr>
          </w:p>
        </w:tc>
        <w:tc>
          <w:tcPr>
            <w:tcW w:w="1114" w:type="dxa"/>
            <w:noWrap w:val="0"/>
            <w:vAlign w:val="center"/>
          </w:tcPr>
          <w:p w14:paraId="02BF5095">
            <w:pPr>
              <w:widowControl/>
              <w:spacing w:line="360" w:lineRule="exact"/>
              <w:jc w:val="left"/>
              <w:rPr>
                <w:rFonts w:hint="eastAsia" w:ascii="Times New Roman" w:hAnsi="Times New Roman" w:cs="宋体"/>
                <w:color w:val="auto"/>
                <w:sz w:val="24"/>
                <w:szCs w:val="24"/>
                <w:highlight w:val="yellow"/>
                <w:lang w:val="en-US" w:eastAsia="zh-CN"/>
              </w:rPr>
            </w:pPr>
            <w:r>
              <w:rPr>
                <w:rFonts w:hint="eastAsia" w:ascii="Times New Roman" w:hAnsi="Times New Roman" w:cs="宋体"/>
                <w:color w:val="auto"/>
                <w:sz w:val="24"/>
                <w:szCs w:val="24"/>
                <w:highlight w:val="yellow"/>
                <w:lang w:val="en-US" w:eastAsia="zh-CN"/>
              </w:rPr>
              <w:t>8</w:t>
            </w:r>
            <w:r>
              <w:rPr>
                <w:rFonts w:hint="eastAsia" w:ascii="Times New Roman" w:hAnsi="Times New Roman" w:cs="宋体"/>
                <w:color w:val="auto"/>
                <w:sz w:val="24"/>
                <w:szCs w:val="24"/>
                <w:highlight w:val="yellow"/>
              </w:rPr>
              <w:t>.00</w:t>
            </w:r>
            <w:r>
              <w:rPr>
                <w:rFonts w:hint="eastAsia" w:ascii="Times New Roman" w:hAnsi="Times New Roman" w:cs="宋体"/>
                <w:color w:val="auto"/>
                <w:sz w:val="24"/>
                <w:szCs w:val="24"/>
                <w:highlight w:val="none"/>
              </w:rPr>
              <w:t>分</w:t>
            </w:r>
          </w:p>
        </w:tc>
        <w:tc>
          <w:tcPr>
            <w:tcW w:w="6431" w:type="dxa"/>
            <w:noWrap w:val="0"/>
            <w:vAlign w:val="center"/>
          </w:tcPr>
          <w:p w14:paraId="7BAF8904">
            <w:pPr>
              <w:widowControl/>
              <w:spacing w:line="360" w:lineRule="exact"/>
              <w:jc w:val="left"/>
              <w:rPr>
                <w:rFonts w:hint="eastAsia" w:ascii="宋体" w:hAnsi="宋体" w:eastAsia="宋体" w:cs="宋体"/>
                <w:sz w:val="24"/>
                <w:szCs w:val="24"/>
                <w:lang w:val="zh-CN"/>
              </w:rPr>
            </w:pPr>
            <w:r>
              <w:rPr>
                <w:rFonts w:hint="eastAsia" w:ascii="宋体" w:hAnsi="宋体" w:eastAsia="宋体" w:cs="宋体"/>
                <w:sz w:val="24"/>
                <w:szCs w:val="24"/>
                <w:lang w:val="zh-CN"/>
              </w:rPr>
              <w:t>根据</w:t>
            </w:r>
            <w:r>
              <w:rPr>
                <w:rFonts w:hint="eastAsia" w:ascii="宋体" w:hAnsi="宋体" w:eastAsia="宋体" w:cs="宋体"/>
                <w:sz w:val="24"/>
                <w:szCs w:val="24"/>
                <w:lang w:val="zh-CN" w:eastAsia="zh-CN"/>
              </w:rPr>
              <w:t>投标人</w:t>
            </w:r>
            <w:r>
              <w:rPr>
                <w:rFonts w:hint="eastAsia" w:ascii="宋体" w:hAnsi="宋体" w:eastAsia="宋体" w:cs="宋体"/>
                <w:sz w:val="24"/>
                <w:szCs w:val="24"/>
                <w:lang w:val="zh-CN"/>
              </w:rPr>
              <w:t>针对本项目提供的培训计划、培训方式、培训人员安排等内容进行综合评分：</w:t>
            </w:r>
          </w:p>
          <w:p w14:paraId="659AB8A6">
            <w:pPr>
              <w:widowControl/>
              <w:spacing w:line="360" w:lineRule="exact"/>
              <w:jc w:val="left"/>
              <w:rPr>
                <w:rFonts w:hint="default" w:ascii="宋体" w:hAnsi="宋体" w:eastAsia="宋体" w:cs="宋体"/>
                <w:sz w:val="24"/>
                <w:szCs w:val="24"/>
                <w:lang w:val="zh-CN"/>
              </w:rPr>
            </w:pPr>
            <w:r>
              <w:rPr>
                <w:rFonts w:hint="default" w:ascii="Times New Roman" w:hAnsi="Times New Roman" w:eastAsia="宋体" w:cs="宋体"/>
                <w:color w:val="auto"/>
                <w:sz w:val="24"/>
                <w:szCs w:val="24"/>
                <w:highlight w:val="none"/>
              </w:rPr>
              <w:t>内容完整详实，能够针对采购需求内容要求而细化制定优于采购需求的，得8分；方案内容完整，针对采购需求内容要求而制定较齐全，内容表述有一定的偏差，但不影响实质性意思表达，能够满足采购需求的，得6分；方案内容笼统，不具有针对性，基本满足采购需求要求的，得4分；方案粗略、可操作性不强，承诺通过后期优化能够实现采购需求要求的得1分，没有内容或其他情况不得分。</w:t>
            </w:r>
          </w:p>
        </w:tc>
      </w:tr>
      <w:tr w14:paraId="1399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noWrap w:val="0"/>
            <w:vAlign w:val="center"/>
          </w:tcPr>
          <w:p w14:paraId="29FFEE42">
            <w:pPr>
              <w:widowControl/>
              <w:spacing w:line="360" w:lineRule="exact"/>
              <w:jc w:val="left"/>
              <w:rPr>
                <w:rFonts w:hint="default" w:ascii="Times New Roman" w:hAnsi="Times New Roman" w:eastAsia="宋体" w:cs="宋体"/>
                <w:color w:val="auto"/>
                <w:sz w:val="24"/>
                <w:szCs w:val="24"/>
                <w:highlight w:val="none"/>
                <w:lang w:val="en-US" w:eastAsia="zh-CN"/>
              </w:rPr>
            </w:pPr>
            <w:r>
              <w:rPr>
                <w:rFonts w:hint="eastAsia" w:ascii="宋体" w:hAnsi="宋体" w:eastAsia="宋体" w:cs="宋体"/>
                <w:bCs/>
                <w:sz w:val="24"/>
                <w:szCs w:val="24"/>
                <w:lang w:val="en-US" w:eastAsia="zh-CN"/>
              </w:rPr>
              <w:t>售后技术服务方案</w:t>
            </w:r>
          </w:p>
        </w:tc>
        <w:tc>
          <w:tcPr>
            <w:tcW w:w="1114" w:type="dxa"/>
            <w:noWrap w:val="0"/>
            <w:vAlign w:val="center"/>
          </w:tcPr>
          <w:p w14:paraId="08E83E5A">
            <w:pPr>
              <w:widowControl/>
              <w:spacing w:line="360" w:lineRule="exact"/>
              <w:jc w:val="left"/>
              <w:rPr>
                <w:rFonts w:hint="default" w:ascii="Times New Roman" w:hAnsi="Times New Roman" w:cs="宋体"/>
                <w:color w:val="auto"/>
                <w:sz w:val="24"/>
                <w:szCs w:val="24"/>
                <w:highlight w:val="yellow"/>
                <w:lang w:val="en-US" w:eastAsia="zh-CN"/>
              </w:rPr>
            </w:pPr>
            <w:r>
              <w:rPr>
                <w:rFonts w:hint="eastAsia" w:ascii="Times New Roman" w:hAnsi="Times New Roman" w:cs="宋体"/>
                <w:color w:val="auto"/>
                <w:sz w:val="24"/>
                <w:szCs w:val="24"/>
                <w:highlight w:val="yellow"/>
                <w:lang w:val="en-US" w:eastAsia="zh-CN"/>
              </w:rPr>
              <w:t>5.00分</w:t>
            </w:r>
          </w:p>
        </w:tc>
        <w:tc>
          <w:tcPr>
            <w:tcW w:w="6431" w:type="dxa"/>
            <w:noWrap w:val="0"/>
            <w:vAlign w:val="center"/>
          </w:tcPr>
          <w:p w14:paraId="5D779BA4">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kern w:val="2"/>
                <w:sz w:val="24"/>
                <w:szCs w:val="24"/>
                <w:lang w:val="zh-CN" w:eastAsia="zh-CN"/>
              </w:rPr>
            </w:pPr>
            <w:r>
              <w:rPr>
                <w:rFonts w:hint="eastAsia" w:ascii="宋体" w:hAnsi="宋体" w:eastAsia="宋体" w:cs="宋体"/>
                <w:kern w:val="2"/>
                <w:sz w:val="24"/>
                <w:szCs w:val="24"/>
                <w:lang w:val="zh-CN" w:eastAsia="zh-CN"/>
              </w:rPr>
              <w:t>投标人针对本项目实际需求提供售后技术服务方案，内容包括但不限于售后服务方案、服务响应时间</w:t>
            </w:r>
            <w:r>
              <w:rPr>
                <w:rFonts w:hint="eastAsia" w:ascii="宋体" w:hAnsi="宋体" w:cs="宋体"/>
                <w:kern w:val="2"/>
                <w:sz w:val="24"/>
                <w:szCs w:val="24"/>
                <w:lang w:val="zh-CN" w:eastAsia="zh-CN"/>
              </w:rPr>
              <w:t>、</w:t>
            </w:r>
            <w:r>
              <w:rPr>
                <w:rFonts w:hint="eastAsia" w:ascii="宋体" w:hAnsi="宋体" w:cs="宋体"/>
                <w:kern w:val="2"/>
                <w:sz w:val="24"/>
                <w:szCs w:val="24"/>
                <w:lang w:val="en-US" w:eastAsia="zh-CN"/>
              </w:rPr>
              <w:t>人员配置、服务承诺</w:t>
            </w:r>
            <w:r>
              <w:rPr>
                <w:rFonts w:hint="eastAsia" w:ascii="宋体" w:hAnsi="宋体" w:eastAsia="宋体" w:cs="宋体"/>
                <w:kern w:val="2"/>
                <w:sz w:val="24"/>
                <w:szCs w:val="24"/>
                <w:lang w:val="zh-CN" w:eastAsia="zh-CN"/>
              </w:rPr>
              <w:t>等方面</w:t>
            </w:r>
            <w:r>
              <w:rPr>
                <w:rFonts w:hint="eastAsia" w:ascii="宋体" w:hAnsi="宋体" w:cs="宋体"/>
                <w:kern w:val="2"/>
                <w:sz w:val="24"/>
                <w:szCs w:val="24"/>
                <w:lang w:val="en-US" w:eastAsia="zh-CN"/>
              </w:rPr>
              <w:t>进行</w:t>
            </w:r>
            <w:r>
              <w:rPr>
                <w:rFonts w:hint="eastAsia" w:ascii="宋体" w:hAnsi="宋体" w:eastAsia="宋体" w:cs="宋体"/>
                <w:kern w:val="2"/>
                <w:sz w:val="24"/>
                <w:szCs w:val="24"/>
                <w:lang w:val="zh-CN" w:eastAsia="zh-CN"/>
              </w:rPr>
              <w:t>得分：</w:t>
            </w:r>
          </w:p>
          <w:p w14:paraId="7B3CE292">
            <w:pPr>
              <w:widowControl/>
              <w:spacing w:line="360" w:lineRule="exact"/>
              <w:jc w:val="left"/>
              <w:rPr>
                <w:rFonts w:hint="default" w:ascii="Times New Roman" w:hAnsi="Times New Roman" w:eastAsia="宋体" w:cs="宋体"/>
                <w:color w:val="auto"/>
                <w:sz w:val="24"/>
                <w:szCs w:val="24"/>
                <w:highlight w:val="none"/>
              </w:rPr>
            </w:pPr>
            <w:r>
              <w:rPr>
                <w:rFonts w:hint="default" w:ascii="Times New Roman" w:hAnsi="Times New Roman" w:eastAsia="宋体" w:cs="宋体"/>
                <w:color w:val="auto"/>
                <w:sz w:val="24"/>
                <w:szCs w:val="24"/>
                <w:highlight w:val="none"/>
              </w:rPr>
              <w:t>内容完整详实，能够针对采购需求内容要求而细化制定优于采购需求的，得</w:t>
            </w:r>
            <w:r>
              <w:rPr>
                <w:rFonts w:hint="eastAsia" w:ascii="Times New Roman" w:hAnsi="Times New Roman" w:eastAsia="宋体" w:cs="宋体"/>
                <w:color w:val="auto"/>
                <w:sz w:val="24"/>
                <w:szCs w:val="24"/>
                <w:highlight w:val="none"/>
                <w:lang w:val="en-US" w:eastAsia="zh-CN"/>
              </w:rPr>
              <w:t>5</w:t>
            </w:r>
            <w:r>
              <w:rPr>
                <w:rFonts w:hint="default" w:ascii="Times New Roman" w:hAnsi="Times New Roman" w:eastAsia="宋体" w:cs="宋体"/>
                <w:color w:val="auto"/>
                <w:sz w:val="24"/>
                <w:szCs w:val="24"/>
                <w:highlight w:val="none"/>
              </w:rPr>
              <w:t>分；方案内容完整，针对采购需求内容要求而制定较齐全，内容表述有一定的偏差，但不影响实质性意思表达，能够满足采购需求的，得</w:t>
            </w:r>
            <w:r>
              <w:rPr>
                <w:rFonts w:hint="eastAsia" w:ascii="Times New Roman" w:hAnsi="Times New Roman" w:eastAsia="宋体" w:cs="宋体"/>
                <w:color w:val="auto"/>
                <w:sz w:val="24"/>
                <w:szCs w:val="24"/>
                <w:highlight w:val="none"/>
                <w:lang w:val="en-US" w:eastAsia="zh-CN"/>
              </w:rPr>
              <w:t>4</w:t>
            </w:r>
            <w:r>
              <w:rPr>
                <w:rFonts w:hint="default" w:ascii="Times New Roman" w:hAnsi="Times New Roman" w:eastAsia="宋体" w:cs="宋体"/>
                <w:color w:val="auto"/>
                <w:sz w:val="24"/>
                <w:szCs w:val="24"/>
                <w:highlight w:val="none"/>
              </w:rPr>
              <w:t>分；方案内容笼统，不具有针对性，基本满足采购需求要求的，得</w:t>
            </w:r>
            <w:r>
              <w:rPr>
                <w:rFonts w:hint="eastAsia" w:ascii="Times New Roman" w:hAnsi="Times New Roman" w:eastAsia="宋体" w:cs="宋体"/>
                <w:color w:val="auto"/>
                <w:sz w:val="24"/>
                <w:szCs w:val="24"/>
                <w:highlight w:val="none"/>
                <w:lang w:val="en-US" w:eastAsia="zh-CN"/>
              </w:rPr>
              <w:t>2</w:t>
            </w:r>
            <w:r>
              <w:rPr>
                <w:rFonts w:hint="default" w:ascii="Times New Roman" w:hAnsi="Times New Roman" w:eastAsia="宋体" w:cs="宋体"/>
                <w:color w:val="auto"/>
                <w:sz w:val="24"/>
                <w:szCs w:val="24"/>
                <w:highlight w:val="none"/>
              </w:rPr>
              <w:t>分；方案粗略、可操作性不强，承诺通过后期优化能够实现采购需求要求的得1分，没有内容或其他情况不得分。</w:t>
            </w:r>
          </w:p>
        </w:tc>
      </w:tr>
      <w:tr w14:paraId="4BFB0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405" w:type="dxa"/>
            <w:noWrap w:val="0"/>
            <w:vAlign w:val="center"/>
          </w:tcPr>
          <w:p w14:paraId="427F6302">
            <w:pPr>
              <w:widowControl/>
              <w:spacing w:line="360" w:lineRule="exact"/>
              <w:jc w:val="left"/>
              <w:rPr>
                <w:rFonts w:hint="eastAsia" w:ascii="宋体" w:hAnsi="宋体" w:eastAsia="宋体" w:cs="宋体"/>
                <w:bCs/>
                <w:sz w:val="24"/>
                <w:szCs w:val="24"/>
                <w:lang w:val="en-US" w:eastAsia="zh-CN"/>
              </w:rPr>
            </w:pPr>
            <w:r>
              <w:rPr>
                <w:rFonts w:hint="eastAsia" w:ascii="宋体" w:hAnsi="宋体" w:eastAsia="宋体" w:cs="宋体"/>
                <w:bCs/>
                <w:color w:val="000000"/>
                <w:sz w:val="24"/>
                <w:szCs w:val="24"/>
                <w:lang w:val="en-US" w:eastAsia="zh-CN"/>
              </w:rPr>
              <w:t>人员配备</w:t>
            </w:r>
          </w:p>
        </w:tc>
        <w:tc>
          <w:tcPr>
            <w:tcW w:w="1114" w:type="dxa"/>
            <w:noWrap w:val="0"/>
            <w:vAlign w:val="center"/>
          </w:tcPr>
          <w:p w14:paraId="049929E8">
            <w:pPr>
              <w:widowControl/>
              <w:spacing w:line="360" w:lineRule="exact"/>
              <w:jc w:val="left"/>
              <w:rPr>
                <w:rFonts w:hint="default" w:ascii="Times New Roman" w:hAnsi="Times New Roman" w:cs="宋体"/>
                <w:color w:val="auto"/>
                <w:sz w:val="24"/>
                <w:szCs w:val="24"/>
                <w:highlight w:val="yellow"/>
                <w:lang w:val="en-US" w:eastAsia="zh-CN"/>
              </w:rPr>
            </w:pPr>
            <w:r>
              <w:rPr>
                <w:rFonts w:hint="eastAsia" w:ascii="Times New Roman" w:hAnsi="Times New Roman" w:cs="宋体"/>
                <w:color w:val="auto"/>
                <w:sz w:val="24"/>
                <w:szCs w:val="24"/>
                <w:highlight w:val="yellow"/>
                <w:lang w:val="en-US" w:eastAsia="zh-CN"/>
              </w:rPr>
              <w:t>4.00分</w:t>
            </w:r>
          </w:p>
        </w:tc>
        <w:tc>
          <w:tcPr>
            <w:tcW w:w="6431" w:type="dxa"/>
            <w:noWrap w:val="0"/>
            <w:vAlign w:val="center"/>
          </w:tcPr>
          <w:p w14:paraId="29605F2A">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kern w:val="2"/>
                <w:sz w:val="24"/>
                <w:szCs w:val="24"/>
                <w:lang w:eastAsia="zh-CN"/>
              </w:rPr>
            </w:pP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为本项目配置的项目负责人具有人社部门颁发环保类专业高级及以上职称的得</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分</w:t>
            </w:r>
            <w:r>
              <w:rPr>
                <w:rFonts w:hint="eastAsia" w:ascii="宋体" w:hAnsi="宋体" w:eastAsia="宋体" w:cs="宋体"/>
                <w:kern w:val="2"/>
                <w:sz w:val="24"/>
                <w:szCs w:val="24"/>
                <w:lang w:eastAsia="zh-CN"/>
              </w:rPr>
              <w:t>；</w:t>
            </w:r>
          </w:p>
          <w:p w14:paraId="548141E3">
            <w:pPr>
              <w:keepNext w:val="0"/>
              <w:keepLines w:val="0"/>
              <w:pageBreakBefore w:val="0"/>
              <w:kinsoku/>
              <w:wordWrap/>
              <w:overflowPunct/>
              <w:topLinePunct w:val="0"/>
              <w:autoSpaceDE/>
              <w:autoSpaceDN/>
              <w:bidi w:val="0"/>
              <w:adjustRightInd w:val="0"/>
              <w:snapToGrid w:val="0"/>
              <w:spacing w:line="240" w:lineRule="auto"/>
              <w:jc w:val="left"/>
              <w:rPr>
                <w:rFonts w:hint="eastAsia" w:ascii="宋体" w:hAnsi="宋体" w:eastAsia="宋体" w:cs="宋体"/>
                <w:kern w:val="2"/>
                <w:sz w:val="24"/>
                <w:szCs w:val="24"/>
                <w:lang w:eastAsia="zh-CN"/>
              </w:rPr>
            </w:pP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为本项目配置的</w:t>
            </w:r>
            <w:r>
              <w:rPr>
                <w:rFonts w:hint="eastAsia" w:ascii="宋体" w:hAnsi="宋体" w:eastAsia="宋体" w:cs="宋体"/>
                <w:kern w:val="2"/>
                <w:sz w:val="24"/>
                <w:szCs w:val="24"/>
                <w:lang w:val="en-US" w:eastAsia="zh-CN"/>
              </w:rPr>
              <w:t>技术人员中</w:t>
            </w:r>
            <w:r>
              <w:rPr>
                <w:rFonts w:hint="eastAsia" w:ascii="宋体" w:hAnsi="宋体" w:eastAsia="宋体" w:cs="宋体"/>
                <w:kern w:val="2"/>
                <w:sz w:val="24"/>
                <w:szCs w:val="24"/>
              </w:rPr>
              <w:t>具有人社部门颁发环保类专业</w:t>
            </w:r>
            <w:r>
              <w:rPr>
                <w:rFonts w:hint="eastAsia" w:ascii="宋体" w:hAnsi="宋体" w:eastAsia="宋体" w:cs="宋体"/>
                <w:kern w:val="2"/>
                <w:sz w:val="24"/>
                <w:szCs w:val="24"/>
                <w:lang w:val="en-US" w:eastAsia="zh-CN"/>
              </w:rPr>
              <w:t>中</w:t>
            </w:r>
            <w:r>
              <w:rPr>
                <w:rFonts w:hint="eastAsia" w:ascii="宋体" w:hAnsi="宋体" w:eastAsia="宋体" w:cs="宋体"/>
                <w:kern w:val="2"/>
                <w:sz w:val="24"/>
                <w:szCs w:val="24"/>
              </w:rPr>
              <w:t>级及以上职称的得</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分</w:t>
            </w:r>
            <w:r>
              <w:rPr>
                <w:rFonts w:hint="eastAsia" w:ascii="宋体" w:hAnsi="宋体" w:eastAsia="宋体" w:cs="宋体"/>
                <w:kern w:val="2"/>
                <w:sz w:val="24"/>
                <w:szCs w:val="24"/>
                <w:lang w:eastAsia="zh-CN"/>
              </w:rPr>
              <w:t>，</w:t>
            </w:r>
            <w:r>
              <w:rPr>
                <w:rFonts w:hint="eastAsia" w:ascii="宋体" w:hAnsi="宋体" w:eastAsia="宋体" w:cs="宋体"/>
                <w:kern w:val="2"/>
                <w:sz w:val="24"/>
                <w:szCs w:val="24"/>
                <w:lang w:val="en-US" w:eastAsia="zh-CN"/>
              </w:rPr>
              <w:t>最高得1分</w:t>
            </w:r>
            <w:r>
              <w:rPr>
                <w:rFonts w:hint="eastAsia" w:ascii="宋体" w:hAnsi="宋体" w:eastAsia="宋体" w:cs="宋体"/>
                <w:kern w:val="2"/>
                <w:sz w:val="24"/>
                <w:szCs w:val="24"/>
                <w:lang w:eastAsia="zh-CN"/>
              </w:rPr>
              <w:t>；</w:t>
            </w:r>
          </w:p>
          <w:p w14:paraId="0BE74A1D">
            <w:pPr>
              <w:keepNext w:val="0"/>
              <w:keepLines w:val="0"/>
              <w:pageBreakBefore w:val="0"/>
              <w:kinsoku/>
              <w:wordWrap/>
              <w:overflowPunct/>
              <w:topLinePunct w:val="0"/>
              <w:autoSpaceDE/>
              <w:autoSpaceDN/>
              <w:bidi w:val="0"/>
              <w:adjustRightInd w:val="0"/>
              <w:snapToGrid w:val="0"/>
              <w:spacing w:line="240" w:lineRule="auto"/>
              <w:jc w:val="left"/>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w:t>
            </w:r>
            <w:r>
              <w:rPr>
                <w:rFonts w:hint="eastAsia" w:ascii="宋体" w:hAnsi="宋体" w:eastAsia="宋体" w:cs="宋体"/>
                <w:kern w:val="2"/>
                <w:sz w:val="24"/>
                <w:szCs w:val="24"/>
              </w:rPr>
              <w:t>为本项目配置的技术人员</w:t>
            </w:r>
            <w:r>
              <w:rPr>
                <w:rFonts w:hint="eastAsia" w:ascii="宋体" w:hAnsi="宋体" w:eastAsia="宋体" w:cs="宋体"/>
                <w:kern w:val="2"/>
                <w:sz w:val="24"/>
                <w:szCs w:val="24"/>
                <w:lang w:val="en-US" w:eastAsia="zh-CN"/>
              </w:rPr>
              <w:t>中</w:t>
            </w:r>
            <w:r>
              <w:rPr>
                <w:rFonts w:hint="eastAsia" w:ascii="宋体" w:hAnsi="宋体" w:eastAsia="宋体" w:cs="宋体"/>
                <w:kern w:val="2"/>
                <w:sz w:val="24"/>
                <w:szCs w:val="24"/>
              </w:rPr>
              <w:t>具备省级及以上环保部门颁发的水质自动站上岗证（以省级及以上环保部门相关机构提供的培训合格证明或其他类似证明材料为准）不少于2人，在2人的基础上每增加1人，得0.5分，最高得</w:t>
            </w:r>
            <w:r>
              <w:rPr>
                <w:rFonts w:hint="eastAsia" w:ascii="宋体" w:hAnsi="宋体" w:eastAsia="宋体" w:cs="宋体"/>
                <w:kern w:val="2"/>
                <w:sz w:val="24"/>
                <w:szCs w:val="24"/>
                <w:lang w:val="en-US" w:eastAsia="zh-CN"/>
              </w:rPr>
              <w:t>2</w:t>
            </w:r>
            <w:r>
              <w:rPr>
                <w:rFonts w:hint="eastAsia" w:ascii="宋体" w:hAnsi="宋体" w:eastAsia="宋体" w:cs="宋体"/>
                <w:kern w:val="2"/>
                <w:sz w:val="24"/>
                <w:szCs w:val="24"/>
              </w:rPr>
              <w:t>分</w:t>
            </w:r>
            <w:r>
              <w:rPr>
                <w:rFonts w:hint="eastAsia" w:ascii="宋体" w:hAnsi="宋体" w:eastAsia="宋体" w:cs="宋体"/>
                <w:kern w:val="2"/>
                <w:sz w:val="24"/>
                <w:szCs w:val="24"/>
                <w:lang w:eastAsia="zh-CN"/>
              </w:rPr>
              <w:t>。</w:t>
            </w:r>
          </w:p>
          <w:p w14:paraId="0F198885">
            <w:pPr>
              <w:keepNext w:val="0"/>
              <w:keepLines w:val="0"/>
              <w:pageBreakBefore w:val="0"/>
              <w:kinsoku/>
              <w:wordWrap/>
              <w:overflowPunct/>
              <w:topLinePunct w:val="0"/>
              <w:autoSpaceDE/>
              <w:autoSpaceDN/>
              <w:bidi w:val="0"/>
              <w:adjustRightInd w:val="0"/>
              <w:snapToGrid w:val="0"/>
              <w:spacing w:line="240" w:lineRule="auto"/>
              <w:jc w:val="left"/>
              <w:rPr>
                <w:rFonts w:hint="default" w:ascii="Times New Roman" w:hAnsi="Times New Roman" w:eastAsia="宋体" w:cs="宋体"/>
                <w:color w:val="auto"/>
                <w:sz w:val="24"/>
                <w:szCs w:val="24"/>
                <w:highlight w:val="none"/>
              </w:rPr>
            </w:pPr>
            <w:r>
              <w:rPr>
                <w:rFonts w:hint="eastAsia" w:ascii="宋体" w:hAnsi="宋体" w:eastAsia="宋体" w:cs="宋体"/>
                <w:kern w:val="2"/>
                <w:sz w:val="24"/>
                <w:szCs w:val="24"/>
                <w:lang w:val="en-US" w:eastAsia="zh-CN"/>
              </w:rPr>
              <w:t>注：</w:t>
            </w:r>
            <w:r>
              <w:rPr>
                <w:rFonts w:hint="eastAsia" w:ascii="宋体" w:hAnsi="宋体" w:eastAsia="宋体" w:cs="宋体"/>
                <w:kern w:val="2"/>
                <w:sz w:val="24"/>
                <w:szCs w:val="24"/>
              </w:rPr>
              <w:t>若职称证书未</w:t>
            </w:r>
            <w:r>
              <w:rPr>
                <w:rFonts w:hint="eastAsia" w:ascii="宋体" w:hAnsi="宋体" w:eastAsia="宋体" w:cs="宋体"/>
                <w:kern w:val="2"/>
                <w:sz w:val="24"/>
                <w:szCs w:val="24"/>
                <w:lang w:val="en-US" w:eastAsia="zh-CN"/>
              </w:rPr>
              <w:t>能</w:t>
            </w:r>
            <w:r>
              <w:rPr>
                <w:rFonts w:hint="eastAsia" w:ascii="宋体" w:hAnsi="宋体" w:eastAsia="宋体" w:cs="宋体"/>
                <w:kern w:val="2"/>
                <w:sz w:val="24"/>
                <w:szCs w:val="24"/>
              </w:rPr>
              <w:t>体现专业的，则另须提供学历证书</w:t>
            </w:r>
            <w:r>
              <w:rPr>
                <w:rFonts w:hint="eastAsia" w:ascii="宋体" w:hAnsi="宋体" w:eastAsia="宋体" w:cs="宋体"/>
                <w:kern w:val="2"/>
                <w:sz w:val="24"/>
                <w:szCs w:val="24"/>
                <w:lang w:eastAsia="zh-CN"/>
              </w:rPr>
              <w:t>；</w:t>
            </w:r>
            <w:r>
              <w:rPr>
                <w:rFonts w:hint="eastAsia" w:ascii="宋体" w:hAnsi="宋体" w:eastAsia="宋体" w:cs="宋体"/>
                <w:kern w:val="2"/>
                <w:sz w:val="24"/>
                <w:szCs w:val="24"/>
              </w:rPr>
              <w:t>（</w:t>
            </w:r>
            <w:r>
              <w:rPr>
                <w:rFonts w:hint="eastAsia" w:ascii="宋体" w:hAnsi="宋体" w:eastAsia="宋体" w:cs="宋体"/>
                <w:kern w:val="2"/>
                <w:sz w:val="24"/>
                <w:szCs w:val="24"/>
                <w:lang w:val="en-US" w:eastAsia="zh-CN"/>
              </w:rPr>
              <w:t>1</w:t>
            </w:r>
            <w:r>
              <w:rPr>
                <w:rFonts w:hint="eastAsia" w:ascii="宋体" w:hAnsi="宋体" w:eastAsia="宋体" w:cs="宋体"/>
                <w:kern w:val="2"/>
                <w:sz w:val="24"/>
                <w:szCs w:val="24"/>
              </w:rPr>
              <w:t>）上述项目组成员必须为本单位员工，需提供投标人为其缴纳的2025年1月以来任意一个月的社保证明材料扫描件，否则不得分；（2）同一人员具备上述多种证书的，不重复计分；同一证书多人具备的，不重复计分；（3）以上项目组成员的证书均须提供扫描件，未提供的本项不得分</w:t>
            </w:r>
            <w:r>
              <w:rPr>
                <w:rFonts w:hint="eastAsia" w:ascii="宋体" w:hAnsi="宋体" w:cs="宋体"/>
                <w:kern w:val="2"/>
                <w:sz w:val="24"/>
                <w:szCs w:val="24"/>
                <w:lang w:eastAsia="zh-CN"/>
              </w:rPr>
              <w:t>）</w:t>
            </w:r>
            <w:r>
              <w:rPr>
                <w:rFonts w:hint="eastAsia" w:ascii="宋体" w:hAnsi="宋体" w:eastAsia="宋体" w:cs="宋体"/>
                <w:kern w:val="2"/>
                <w:sz w:val="24"/>
                <w:szCs w:val="24"/>
                <w:lang w:val="en-US" w:eastAsia="zh-CN"/>
              </w:rPr>
              <w:t>相关证书及社保证明</w:t>
            </w:r>
            <w:r>
              <w:rPr>
                <w:rFonts w:hint="eastAsia" w:ascii="Times New Roman" w:hAnsi="Times New Roman" w:eastAsia="宋体" w:cs="宋体"/>
                <w:color w:val="auto"/>
                <w:sz w:val="24"/>
                <w:szCs w:val="24"/>
                <w:highlight w:val="none"/>
              </w:rPr>
              <w:t xml:space="preserve">随中标结果同步公开。 </w:t>
            </w:r>
          </w:p>
        </w:tc>
      </w:tr>
    </w:tbl>
    <w:p w14:paraId="31BAE250">
      <w:pPr>
        <w:keepNext/>
        <w:keepLines/>
        <w:pageBreakBefore/>
        <w:jc w:val="center"/>
        <w:outlineLvl w:val="0"/>
        <w:rPr>
          <w:rFonts w:hint="eastAsia"/>
          <w:b/>
          <w:color w:val="auto"/>
          <w:sz w:val="44"/>
          <w:szCs w:val="44"/>
          <w:highlight w:val="none"/>
        </w:rPr>
      </w:pPr>
      <w:r>
        <w:rPr>
          <w:rFonts w:hint="eastAsia"/>
          <w:b/>
          <w:color w:val="auto"/>
          <w:sz w:val="44"/>
          <w:szCs w:val="44"/>
          <w:highlight w:val="none"/>
        </w:rPr>
        <w:t>第四章</w:t>
      </w:r>
      <w:r>
        <w:rPr>
          <w:b/>
          <w:color w:val="auto"/>
          <w:sz w:val="44"/>
          <w:szCs w:val="44"/>
          <w:highlight w:val="none"/>
        </w:rPr>
        <w:t xml:space="preserve">  </w:t>
      </w:r>
      <w:r>
        <w:rPr>
          <w:rFonts w:hint="eastAsia"/>
          <w:b/>
          <w:color w:val="auto"/>
          <w:sz w:val="44"/>
          <w:szCs w:val="44"/>
          <w:highlight w:val="none"/>
        </w:rPr>
        <w:t>采购需求</w:t>
      </w:r>
      <w:bookmarkEnd w:id="118"/>
      <w:bookmarkEnd w:id="121"/>
      <w:bookmarkEnd w:id="122"/>
      <w:bookmarkEnd w:id="123"/>
      <w:bookmarkEnd w:id="124"/>
      <w:bookmarkEnd w:id="125"/>
    </w:p>
    <w:p w14:paraId="3F3EAD76">
      <w:pPr>
        <w:keepNext w:val="0"/>
        <w:keepLines w:val="0"/>
        <w:pageBreakBefore w:val="0"/>
        <w:widowControl w:val="0"/>
        <w:spacing w:before="0" w:after="200" w:line="440" w:lineRule="exact"/>
        <w:ind w:left="0" w:right="0" w:firstLine="0"/>
        <w:jc w:val="left"/>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lang w:val="en-US" w:eastAsia="zh-CN" w:bidi="ar-SA"/>
        </w:rPr>
        <w:t>项目属性：</w:t>
      </w:r>
      <w:r>
        <w:rPr>
          <w:rFonts w:hint="eastAsia" w:ascii="宋体" w:hAnsi="宋体" w:eastAsia="宋体" w:cs="宋体"/>
          <w:spacing w:val="0"/>
          <w:sz w:val="24"/>
          <w:szCs w:val="24"/>
          <w:highlight w:val="none"/>
          <w:u w:val="single"/>
          <w:lang w:val="en-US" w:eastAsia="zh-CN" w:bidi="ar-SA"/>
        </w:rPr>
        <w:t>货物类项目</w:t>
      </w:r>
      <w:r>
        <w:rPr>
          <w:rFonts w:hint="eastAsia" w:ascii="宋体" w:hAnsi="宋体" w:eastAsia="宋体" w:cs="宋体"/>
          <w:spacing w:val="0"/>
          <w:sz w:val="24"/>
          <w:szCs w:val="24"/>
          <w:highlight w:val="none"/>
          <w:lang w:val="en-US" w:eastAsia="zh-CN" w:bidi="ar-SA"/>
        </w:rPr>
        <w:t>。</w:t>
      </w:r>
    </w:p>
    <w:p w14:paraId="70AAF48D">
      <w:pPr>
        <w:keepNext w:val="0"/>
        <w:keepLines w:val="0"/>
        <w:pageBreakBefore w:val="0"/>
        <w:widowControl w:val="0"/>
        <w:spacing w:before="0" w:after="200" w:line="440" w:lineRule="exact"/>
        <w:ind w:left="0" w:right="0" w:firstLine="0"/>
        <w:jc w:val="left"/>
        <w:outlineLvl w:val="9"/>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lang w:val="en-US" w:eastAsia="zh-CN" w:bidi="ar-SA"/>
        </w:rPr>
        <w:t>本项目采购标的对应的中小企业划分标准所属行业：</w:t>
      </w:r>
      <w:r>
        <w:rPr>
          <w:rFonts w:hint="eastAsia" w:ascii="宋体" w:hAnsi="宋体" w:eastAsia="宋体" w:cs="宋体"/>
          <w:spacing w:val="0"/>
          <w:sz w:val="24"/>
          <w:szCs w:val="24"/>
          <w:highlight w:val="none"/>
          <w:u w:val="single"/>
          <w:lang w:val="en-US" w:eastAsia="zh-CN" w:bidi="ar-SA"/>
        </w:rPr>
        <w:t>其他未列明行业</w:t>
      </w:r>
      <w:r>
        <w:rPr>
          <w:rFonts w:hint="eastAsia" w:ascii="宋体" w:hAnsi="宋体" w:eastAsia="宋体" w:cs="宋体"/>
          <w:spacing w:val="0"/>
          <w:sz w:val="24"/>
          <w:szCs w:val="24"/>
          <w:highlight w:val="none"/>
          <w:lang w:val="en-US" w:eastAsia="zh-CN" w:bidi="ar-SA"/>
        </w:rPr>
        <w:t>。</w:t>
      </w:r>
    </w:p>
    <w:p w14:paraId="05CC5142">
      <w:pPr>
        <w:spacing w:line="400" w:lineRule="exact"/>
        <w:jc w:val="both"/>
        <w:outlineLvl w:val="9"/>
        <w:rPr>
          <w:rFonts w:hint="eastAsia" w:ascii="宋体" w:hAnsi="宋体" w:eastAsia="宋体" w:cs="宋体"/>
          <w:b/>
          <w:color w:val="000000"/>
          <w:sz w:val="24"/>
          <w:szCs w:val="24"/>
          <w:highlight w:val="none"/>
          <w:rtl w:val="0"/>
          <w:lang w:val="en-US" w:eastAsia="zh-CN"/>
        </w:rPr>
      </w:pPr>
      <w:r>
        <w:rPr>
          <w:rFonts w:hint="eastAsia" w:ascii="宋体" w:hAnsi="宋体" w:eastAsia="宋体" w:cs="宋体"/>
          <w:b/>
          <w:color w:val="000000"/>
          <w:sz w:val="24"/>
          <w:szCs w:val="24"/>
          <w:highlight w:val="none"/>
          <w:rtl w:val="0"/>
          <w:lang w:val="en-US" w:eastAsia="zh-CN"/>
        </w:rPr>
        <w:t>一、项目概况</w:t>
      </w:r>
    </w:p>
    <w:p w14:paraId="26F108FA">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（一）项目名称：沭阳县农业面源污染水质自动站建设项目</w:t>
      </w:r>
    </w:p>
    <w:p w14:paraId="376020A0">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zh-CN" w:bidi="ar-SA"/>
        </w:rPr>
        <w:t>（二）项目地点：宿迁市沭阳县沂北监测区</w:t>
      </w:r>
    </w:p>
    <w:p w14:paraId="49ED9AB5">
      <w:pPr>
        <w:keepNext w:val="0"/>
        <w:keepLines w:val="0"/>
        <w:pageBreakBefore w:val="0"/>
        <w:widowControl w:val="0"/>
        <w:spacing w:before="0" w:after="0" w:line="440" w:lineRule="exact"/>
        <w:ind w:left="0" w:right="0" w:firstLine="480"/>
        <w:jc w:val="left"/>
        <w:rPr>
          <w:rFonts w:hint="default"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en-US" w:bidi="ar-SA"/>
        </w:rPr>
        <w:t>（</w:t>
      </w:r>
      <w:r>
        <w:rPr>
          <w:rFonts w:hint="eastAsia" w:ascii="宋体" w:hAnsi="宋体" w:eastAsia="宋体" w:cs="宋体"/>
          <w:b w:val="0"/>
          <w:bCs/>
          <w:color w:val="000000"/>
          <w:spacing w:val="0"/>
          <w:sz w:val="24"/>
          <w:szCs w:val="24"/>
          <w:highlight w:val="none"/>
          <w:lang w:val="en-US" w:eastAsia="zh-CN" w:bidi="ar-SA"/>
        </w:rPr>
        <w:t>三</w:t>
      </w:r>
      <w:r>
        <w:rPr>
          <w:rFonts w:hint="eastAsia" w:ascii="宋体" w:hAnsi="宋体" w:eastAsia="宋体" w:cs="宋体"/>
          <w:b w:val="0"/>
          <w:bCs/>
          <w:color w:val="000000"/>
          <w:spacing w:val="0"/>
          <w:sz w:val="24"/>
          <w:szCs w:val="24"/>
          <w:highlight w:val="none"/>
          <w:lang w:val="en-US" w:eastAsia="en-US" w:bidi="ar-SA"/>
        </w:rPr>
        <w:t>）合同履行期限：</w:t>
      </w:r>
      <w:r>
        <w:rPr>
          <w:rFonts w:hint="eastAsia" w:ascii="宋体" w:hAnsi="宋体" w:eastAsia="宋体" w:cs="宋体"/>
          <w:b w:val="0"/>
          <w:bCs/>
          <w:color w:val="000000"/>
          <w:spacing w:val="0"/>
          <w:sz w:val="24"/>
          <w:szCs w:val="24"/>
          <w:highlight w:val="none"/>
          <w:lang w:val="en-US" w:eastAsia="zh-CN" w:bidi="ar-SA"/>
        </w:rPr>
        <w:t>90日历天</w:t>
      </w:r>
    </w:p>
    <w:p w14:paraId="0071EEE3">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w:t>
      </w:r>
      <w:r>
        <w:rPr>
          <w:rFonts w:hint="eastAsia" w:ascii="宋体" w:hAnsi="宋体" w:eastAsia="宋体" w:cs="宋体"/>
          <w:b w:val="0"/>
          <w:bCs/>
          <w:color w:val="000000"/>
          <w:spacing w:val="0"/>
          <w:sz w:val="24"/>
          <w:szCs w:val="24"/>
          <w:highlight w:val="none"/>
          <w:lang w:val="en-US" w:eastAsia="zh-CN" w:bidi="ar-SA"/>
        </w:rPr>
        <w:t>四</w:t>
      </w:r>
      <w:r>
        <w:rPr>
          <w:rFonts w:hint="eastAsia" w:ascii="宋体" w:hAnsi="宋体" w:eastAsia="宋体" w:cs="宋体"/>
          <w:b w:val="0"/>
          <w:bCs/>
          <w:color w:val="000000"/>
          <w:spacing w:val="0"/>
          <w:sz w:val="24"/>
          <w:szCs w:val="24"/>
          <w:highlight w:val="none"/>
          <w:lang w:val="en-US" w:eastAsia="en-US" w:bidi="ar-SA"/>
        </w:rPr>
        <w:t xml:space="preserve">）付款方式： </w:t>
      </w:r>
    </w:p>
    <w:p w14:paraId="71713596">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z w:val="24"/>
          <w:szCs w:val="24"/>
          <w:highlight w:val="none"/>
          <w:lang w:val="en-US" w:eastAsia="zh-CN" w:bidi="ar-SA"/>
        </w:rPr>
      </w:pPr>
      <w:r>
        <w:rPr>
          <w:rFonts w:hint="eastAsia" w:ascii="宋体" w:hAnsi="宋体" w:eastAsia="宋体" w:cs="宋体"/>
          <w:b w:val="0"/>
          <w:bCs/>
          <w:color w:val="000000"/>
          <w:sz w:val="24"/>
          <w:szCs w:val="24"/>
          <w:highlight w:val="none"/>
          <w:lang w:val="en-US" w:eastAsia="zh-CN" w:bidi="ar-SA"/>
        </w:rPr>
        <w:t>预付款：合同金额的10%，合同签订后按规定支付；</w:t>
      </w:r>
    </w:p>
    <w:p w14:paraId="4BA93F99">
      <w:pPr>
        <w:keepNext w:val="0"/>
        <w:keepLines w:val="0"/>
        <w:pageBreakBefore w:val="0"/>
        <w:widowControl w:val="0"/>
        <w:spacing w:before="0" w:after="0" w:line="440" w:lineRule="exact"/>
        <w:ind w:left="0" w:right="0" w:firstLine="480"/>
        <w:jc w:val="left"/>
        <w:rPr>
          <w:rFonts w:hint="default"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zh-CN" w:bidi="ar-SA"/>
        </w:rPr>
        <w:t>进度款：项目完工经初验合格后付至合同价款的60%，初验合格满一年付至合同价款的95%，初验合格起第三年付清余款；</w:t>
      </w:r>
    </w:p>
    <w:p w14:paraId="7AC2821D">
      <w:pPr>
        <w:spacing w:line="400" w:lineRule="exact"/>
        <w:ind w:firstLine="480"/>
        <w:jc w:val="both"/>
        <w:outlineLvl w:val="9"/>
        <w:rPr>
          <w:rFonts w:hint="eastAsia" w:ascii="宋体" w:hAnsi="宋体" w:eastAsia="宋体" w:cs="宋体"/>
          <w:b w:val="0"/>
          <w:bCs/>
          <w:color w:val="000000"/>
          <w:sz w:val="24"/>
          <w:highlight w:val="none"/>
          <w:lang w:val="zh-CN" w:eastAsia="zh-CN"/>
        </w:rPr>
      </w:pPr>
      <w:r>
        <w:rPr>
          <w:rFonts w:hint="eastAsia" w:ascii="宋体" w:hAnsi="宋体" w:eastAsia="宋体" w:cs="宋体"/>
          <w:b w:val="0"/>
          <w:bCs/>
          <w:color w:val="000000"/>
          <w:sz w:val="24"/>
          <w:highlight w:val="none"/>
          <w:lang w:val="zh-CN" w:eastAsia="zh-CN"/>
        </w:rPr>
        <w:t>资金支付的</w:t>
      </w:r>
      <w:r>
        <w:rPr>
          <w:rFonts w:hint="eastAsia" w:ascii="宋体" w:hAnsi="宋体" w:eastAsia="宋体" w:cs="宋体"/>
          <w:b w:val="0"/>
          <w:bCs/>
          <w:color w:val="000000"/>
          <w:sz w:val="24"/>
          <w:highlight w:val="none"/>
          <w:lang w:eastAsia="zh-CN"/>
        </w:rPr>
        <w:t>时间</w:t>
      </w:r>
      <w:r>
        <w:rPr>
          <w:rFonts w:hint="eastAsia" w:ascii="宋体" w:hAnsi="宋体" w:eastAsia="宋体" w:cs="宋体"/>
          <w:b w:val="0"/>
          <w:bCs/>
          <w:color w:val="000000"/>
          <w:sz w:val="24"/>
          <w:highlight w:val="none"/>
          <w:lang w:val="zh-CN" w:eastAsia="zh-CN"/>
        </w:rPr>
        <w:t>：</w:t>
      </w:r>
      <w:r>
        <w:rPr>
          <w:rFonts w:hint="eastAsia" w:ascii="宋体" w:hAnsi="宋体" w:eastAsia="宋体" w:cs="宋体"/>
          <w:b w:val="0"/>
          <w:bCs/>
          <w:color w:val="000000"/>
          <w:sz w:val="24"/>
          <w:highlight w:val="none"/>
          <w:lang w:eastAsia="zh-CN"/>
        </w:rPr>
        <w:t>收到供应商发票10个工作日内</w:t>
      </w:r>
      <w:r>
        <w:rPr>
          <w:rFonts w:hint="eastAsia" w:ascii="宋体" w:hAnsi="宋体" w:eastAsia="宋体" w:cs="宋体"/>
          <w:b w:val="0"/>
          <w:bCs/>
          <w:color w:val="000000"/>
          <w:sz w:val="24"/>
          <w:highlight w:val="none"/>
          <w:lang w:val="zh-CN" w:eastAsia="zh-CN"/>
        </w:rPr>
        <w:t>。</w:t>
      </w:r>
    </w:p>
    <w:p w14:paraId="51EE0A0C">
      <w:pPr>
        <w:spacing w:line="400" w:lineRule="exact"/>
        <w:ind w:firstLine="480"/>
        <w:jc w:val="both"/>
        <w:outlineLvl w:val="9"/>
        <w:rPr>
          <w:rFonts w:hint="default" w:ascii="宋体" w:hAnsi="宋体" w:eastAsia="宋体" w:cs="宋体"/>
          <w:b w:val="0"/>
          <w:bCs/>
          <w:color w:val="000000"/>
          <w:sz w:val="24"/>
          <w:highlight w:val="none"/>
          <w:lang w:val="en-US" w:eastAsia="zh-CN"/>
        </w:rPr>
      </w:pPr>
      <w:r>
        <w:rPr>
          <w:rFonts w:hint="eastAsia" w:ascii="宋体" w:hAnsi="宋体" w:eastAsia="宋体" w:cs="宋体"/>
          <w:b w:val="0"/>
          <w:bCs/>
          <w:color w:val="000000"/>
          <w:sz w:val="24"/>
          <w:highlight w:val="none"/>
          <w:lang w:val="en-US" w:eastAsia="zh-CN"/>
        </w:rPr>
        <w:t>资金支付方式：</w:t>
      </w:r>
      <w:r>
        <w:rPr>
          <w:rFonts w:hint="eastAsia" w:ascii="宋体" w:hAnsi="宋体" w:eastAsia="宋体" w:cs="宋体"/>
          <w:b w:val="0"/>
          <w:bCs/>
          <w:color w:val="000000"/>
          <w:sz w:val="24"/>
          <w:highlight w:val="none"/>
          <w:lang w:eastAsia="zh-CN"/>
        </w:rPr>
        <w:t>合同约定的供应商账户或供应商数字人民币账户。</w:t>
      </w:r>
    </w:p>
    <w:p w14:paraId="399B9DF3">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z w:val="24"/>
          <w:szCs w:val="24"/>
          <w:highlight w:val="none"/>
          <w:lang w:val="en-US" w:eastAsia="zh-CN" w:bidi="ar-SA"/>
        </w:rPr>
        <w:t>注：在签订合同时，中标人明确表示无需预付款或者主动要求降低预付款比例的金额，采购人可不适用预付款规定。</w:t>
      </w:r>
    </w:p>
    <w:p w14:paraId="7B6582F1">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w:t>
      </w:r>
      <w:r>
        <w:rPr>
          <w:rFonts w:hint="eastAsia" w:ascii="宋体" w:hAnsi="宋体" w:eastAsia="宋体" w:cs="宋体"/>
          <w:b w:val="0"/>
          <w:bCs/>
          <w:color w:val="000000"/>
          <w:spacing w:val="0"/>
          <w:sz w:val="24"/>
          <w:szCs w:val="24"/>
          <w:highlight w:val="none"/>
          <w:lang w:val="en-US" w:eastAsia="zh-CN" w:bidi="ar-SA"/>
        </w:rPr>
        <w:t>五</w:t>
      </w:r>
      <w:r>
        <w:rPr>
          <w:rFonts w:hint="eastAsia" w:ascii="宋体" w:hAnsi="宋体" w:eastAsia="宋体" w:cs="宋体"/>
          <w:b w:val="0"/>
          <w:bCs/>
          <w:color w:val="000000"/>
          <w:spacing w:val="0"/>
          <w:sz w:val="24"/>
          <w:szCs w:val="24"/>
          <w:highlight w:val="none"/>
          <w:lang w:val="en-US" w:eastAsia="en-US" w:bidi="ar-SA"/>
        </w:rPr>
        <w:t>）服务质量：合格</w:t>
      </w:r>
    </w:p>
    <w:p w14:paraId="1AB3EC6E">
      <w:pPr>
        <w:keepNext w:val="0"/>
        <w:keepLines w:val="0"/>
        <w:pageBreakBefore w:val="0"/>
        <w:widowControl w:val="0"/>
        <w:spacing w:before="0" w:after="0" w:line="440" w:lineRule="exact"/>
        <w:ind w:left="0" w:right="0" w:firstLine="480"/>
        <w:jc w:val="left"/>
        <w:rPr>
          <w:rFonts w:ascii="Times New Roman" w:hAnsi="Times New Roman" w:eastAsia="等线" w:cs="仿宋"/>
          <w:color w:val="auto"/>
          <w:highlight w:val="yellow"/>
        </w:rPr>
      </w:pPr>
      <w:r>
        <w:rPr>
          <w:rFonts w:hint="eastAsia" w:ascii="宋体" w:hAnsi="宋体" w:eastAsia="宋体" w:cs="宋体"/>
          <w:b w:val="0"/>
          <w:bCs/>
          <w:color w:val="000000"/>
          <w:spacing w:val="0"/>
          <w:sz w:val="24"/>
          <w:szCs w:val="24"/>
          <w:highlight w:val="none"/>
          <w:lang w:val="en-US" w:eastAsia="zh-CN" w:bidi="ar-SA"/>
        </w:rPr>
        <w:t>（六）</w:t>
      </w:r>
      <w:r>
        <w:rPr>
          <w:rFonts w:hint="eastAsia" w:ascii="宋体" w:hAnsi="宋体" w:eastAsia="宋体" w:cs="宋体"/>
          <w:b w:val="0"/>
          <w:bCs/>
          <w:color w:val="000000"/>
          <w:spacing w:val="0"/>
          <w:sz w:val="24"/>
          <w:szCs w:val="24"/>
          <w:highlight w:val="none"/>
          <w:lang w:val="en-US" w:eastAsia="en-US" w:bidi="ar-SA"/>
        </w:rPr>
        <w:t>验收标准：中标方提供的</w:t>
      </w:r>
      <w:r>
        <w:rPr>
          <w:rFonts w:hint="eastAsia" w:ascii="宋体" w:hAnsi="宋体" w:eastAsia="宋体" w:cs="宋体"/>
          <w:b w:val="0"/>
          <w:bCs/>
          <w:color w:val="000000"/>
          <w:spacing w:val="0"/>
          <w:sz w:val="24"/>
          <w:szCs w:val="24"/>
          <w:highlight w:val="none"/>
          <w:lang w:val="en-US" w:eastAsia="zh-CN" w:bidi="ar-SA"/>
        </w:rPr>
        <w:t>货物及服务</w:t>
      </w:r>
      <w:r>
        <w:rPr>
          <w:rFonts w:hint="eastAsia" w:ascii="宋体" w:hAnsi="宋体" w:eastAsia="宋体" w:cs="宋体"/>
          <w:b w:val="0"/>
          <w:bCs/>
          <w:color w:val="000000"/>
          <w:spacing w:val="0"/>
          <w:sz w:val="24"/>
          <w:szCs w:val="24"/>
          <w:highlight w:val="none"/>
          <w:lang w:val="en-US" w:eastAsia="en-US" w:bidi="ar-SA"/>
        </w:rPr>
        <w:t>有国家标准的应符合国家标准。无国家标准的应符合行业标准、地方标准或者其他标准、规范，满足</w:t>
      </w:r>
      <w:r>
        <w:rPr>
          <w:rFonts w:hint="eastAsia" w:ascii="宋体" w:hAnsi="宋体" w:eastAsia="宋体" w:cs="宋体"/>
          <w:b w:val="0"/>
          <w:bCs/>
          <w:color w:val="000000"/>
          <w:spacing w:val="0"/>
          <w:sz w:val="24"/>
          <w:szCs w:val="24"/>
          <w:highlight w:val="none"/>
          <w:lang w:val="en-US" w:eastAsia="zh-CN" w:bidi="ar-SA"/>
        </w:rPr>
        <w:t>章集</w:t>
      </w:r>
      <w:r>
        <w:rPr>
          <w:rFonts w:hint="eastAsia" w:ascii="宋体" w:hAnsi="宋体" w:eastAsia="宋体" w:cs="宋体"/>
          <w:b w:val="0"/>
          <w:bCs/>
          <w:color w:val="000000"/>
          <w:spacing w:val="0"/>
          <w:sz w:val="24"/>
          <w:szCs w:val="24"/>
          <w:highlight w:val="none"/>
          <w:lang w:val="en-US" w:eastAsia="en-US" w:bidi="ar-SA"/>
        </w:rPr>
        <w:t>街道环卫保洁项目作业标准</w:t>
      </w:r>
      <w:r>
        <w:rPr>
          <w:rFonts w:hint="eastAsia" w:ascii="宋体" w:hAnsi="宋体" w:eastAsia="宋体" w:cs="宋体"/>
          <w:b w:val="0"/>
          <w:bCs/>
          <w:color w:val="000000"/>
          <w:spacing w:val="0"/>
          <w:sz w:val="24"/>
          <w:szCs w:val="24"/>
          <w:highlight w:val="none"/>
          <w:lang w:val="en-US" w:eastAsia="zh-CN" w:bidi="ar-SA"/>
        </w:rPr>
        <w:t>及采购</w:t>
      </w:r>
      <w:r>
        <w:rPr>
          <w:rFonts w:hint="eastAsia" w:ascii="宋体" w:hAnsi="宋体" w:eastAsia="宋体" w:cs="宋体"/>
          <w:b w:val="0"/>
          <w:bCs/>
          <w:color w:val="000000"/>
          <w:spacing w:val="0"/>
          <w:sz w:val="24"/>
          <w:szCs w:val="24"/>
          <w:highlight w:val="none"/>
          <w:lang w:val="en-US" w:eastAsia="en-US" w:bidi="ar-SA"/>
        </w:rPr>
        <w:t>文件要求。</w:t>
      </w:r>
    </w:p>
    <w:p w14:paraId="336AF577">
      <w:pPr>
        <w:spacing w:line="400" w:lineRule="exact"/>
        <w:jc w:val="both"/>
        <w:outlineLvl w:val="9"/>
        <w:rPr>
          <w:rFonts w:hint="eastAsia" w:ascii="宋体" w:hAnsi="宋体" w:eastAsia="宋体" w:cs="宋体"/>
          <w:b/>
          <w:color w:val="000000"/>
          <w:sz w:val="24"/>
          <w:szCs w:val="24"/>
          <w:highlight w:val="none"/>
          <w:rtl w:val="0"/>
          <w:lang w:val="en-US" w:eastAsia="en-US"/>
        </w:rPr>
      </w:pPr>
      <w:r>
        <w:rPr>
          <w:rFonts w:hint="eastAsia" w:ascii="宋体" w:hAnsi="宋体" w:eastAsia="宋体" w:cs="宋体"/>
          <w:b/>
          <w:color w:val="000000"/>
          <w:sz w:val="24"/>
          <w:szCs w:val="24"/>
          <w:highlight w:val="none"/>
          <w:rtl w:val="0"/>
          <w:lang w:val="en-US" w:eastAsia="zh-CN"/>
        </w:rPr>
        <w:t>二</w:t>
      </w:r>
      <w:r>
        <w:rPr>
          <w:rFonts w:hint="eastAsia" w:ascii="宋体" w:hAnsi="宋体" w:eastAsia="宋体" w:cs="宋体"/>
          <w:b/>
          <w:color w:val="000000"/>
          <w:sz w:val="24"/>
          <w:szCs w:val="24"/>
          <w:highlight w:val="none"/>
          <w:rtl w:val="0"/>
          <w:lang w:val="en-US" w:eastAsia="en-US"/>
        </w:rPr>
        <w:t>、</w:t>
      </w:r>
      <w:r>
        <w:rPr>
          <w:rFonts w:hint="eastAsia" w:ascii="宋体" w:hAnsi="宋体" w:eastAsia="宋体" w:cs="宋体"/>
          <w:b/>
          <w:color w:val="000000"/>
          <w:sz w:val="24"/>
          <w:szCs w:val="24"/>
          <w:highlight w:val="none"/>
          <w:rtl w:val="0"/>
          <w:lang w:val="en-US" w:eastAsia="zh-CN"/>
        </w:rPr>
        <w:t>项目实施方案</w:t>
      </w:r>
    </w:p>
    <w:p w14:paraId="10D2D562">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zh-CN" w:bidi="ar-SA"/>
        </w:rPr>
        <w:t>（一）</w:t>
      </w:r>
      <w:r>
        <w:rPr>
          <w:rFonts w:hint="eastAsia" w:ascii="宋体" w:hAnsi="宋体" w:eastAsia="宋体" w:cs="宋体"/>
          <w:b w:val="0"/>
          <w:bCs/>
          <w:color w:val="000000"/>
          <w:spacing w:val="0"/>
          <w:sz w:val="24"/>
          <w:szCs w:val="24"/>
          <w:highlight w:val="none"/>
          <w:lang w:val="en-US" w:eastAsia="en-US" w:bidi="ar-SA"/>
        </w:rPr>
        <w:t>率先实施农田退水断面水质监测</w:t>
      </w:r>
    </w:p>
    <w:p w14:paraId="203EAB47">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2022年起，全省优先选取10万亩以上规模化灌区开展农田退 水断面水质监测，初步形成85个规模化灌区132个断面的农田退 水监测网络。</w:t>
      </w:r>
    </w:p>
    <w:p w14:paraId="7E39041A">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2023年4</w:t>
      </w:r>
      <w:r>
        <w:rPr>
          <w:rFonts w:hint="eastAsia" w:ascii="宋体" w:hAnsi="宋体" w:cs="宋体"/>
          <w:b w:val="0"/>
          <w:bCs/>
          <w:color w:val="000000"/>
          <w:spacing w:val="0"/>
          <w:sz w:val="24"/>
          <w:szCs w:val="24"/>
          <w:highlight w:val="none"/>
          <w:lang w:val="en-US" w:eastAsia="zh-CN" w:bidi="ar-SA"/>
        </w:rPr>
        <w:t>—</w:t>
      </w:r>
      <w:r>
        <w:rPr>
          <w:rFonts w:hint="eastAsia" w:ascii="宋体" w:hAnsi="宋体" w:eastAsia="宋体" w:cs="宋体"/>
          <w:b w:val="0"/>
          <w:bCs/>
          <w:color w:val="000000"/>
          <w:spacing w:val="0"/>
          <w:sz w:val="24"/>
          <w:szCs w:val="24"/>
          <w:highlight w:val="none"/>
          <w:lang w:val="en-US" w:eastAsia="en-US" w:bidi="ar-SA"/>
        </w:rPr>
        <w:t>9月监测结果显示，全省农田退水断面水质总体优 Ⅲ比例为49.3% 、Ⅳ类比例为39.4% 、Ⅴ类比例为8.3% 、劣Ⅴ比例 为3.0%。从时间分布看，7月全省农田退水水质受降水影响出现 大面积下滑，优Ⅲ比例为22.7% 、Ⅳ类比例为31. 1%、Ⅴ类比例为 22.7% 、劣Ⅴ比例为23.5% 。从空间分布看，全省长江、太湖和淮 河流域农田退水氮、磷指标均值浓度呈现从低到高的变化趋势， 但均低于同流域的国考断面水质，其中太湖流域农田退水断面 氮、磷指标均值浓度与太湖流域国考断面水质差距最大，氨氮、 总磷和总氮均值浓度分别较国考水质高3.38 、0.43和0.40倍。</w:t>
      </w:r>
    </w:p>
    <w:p w14:paraId="02B69D32">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zh-CN" w:bidi="ar-SA"/>
        </w:rPr>
        <w:t>（二）</w:t>
      </w:r>
      <w:r>
        <w:rPr>
          <w:rFonts w:hint="eastAsia" w:ascii="宋体" w:hAnsi="宋体" w:eastAsia="宋体" w:cs="宋体"/>
          <w:b w:val="0"/>
          <w:bCs/>
          <w:color w:val="000000"/>
          <w:spacing w:val="0"/>
          <w:sz w:val="24"/>
          <w:szCs w:val="24"/>
          <w:highlight w:val="none"/>
          <w:lang w:val="en-US" w:eastAsia="en-US" w:bidi="ar-SA"/>
        </w:rPr>
        <w:t>率先建立农业面源污染监测评估体系</w:t>
      </w:r>
    </w:p>
    <w:p w14:paraId="60A6CE2A">
      <w:pPr>
        <w:keepNext w:val="0"/>
        <w:keepLines w:val="0"/>
        <w:pageBreakBefore w:val="0"/>
        <w:widowControl w:val="0"/>
        <w:spacing w:before="0" w:after="0" w:line="440" w:lineRule="exact"/>
        <w:ind w:right="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我省在全国首批开展农业面源污染监测评估试点工作，并联 合南京大学研发了省级农业面源污染监测评估模型方法。2022  年10月，根据《全国农业面源污染监测评估实施方案（2022—2025  年）》要求，我省高质量完成了农业面源污染监测选区布点工作， 在徐州市、常州市、连云港市、淮安市、盐城市、扬州市、泰州 市、宿迁市共8个国家推荐区域，共选划了8个农业面源污染监测 区，布设了47个地表水点位、50个土壤点位、23个农村生活</w:t>
      </w:r>
      <w:r>
        <w:rPr>
          <w:rFonts w:hint="eastAsia" w:ascii="宋体" w:hAnsi="宋体" w:cs="宋体"/>
          <w:b w:val="0"/>
          <w:bCs/>
          <w:color w:val="000000"/>
          <w:spacing w:val="0"/>
          <w:sz w:val="24"/>
          <w:szCs w:val="24"/>
          <w:highlight w:val="none"/>
          <w:lang w:val="en-US" w:eastAsia="zh-CN" w:bidi="ar-SA"/>
        </w:rPr>
        <w:t>污水</w:t>
      </w:r>
      <w:r>
        <w:rPr>
          <w:rFonts w:hint="eastAsia" w:ascii="宋体" w:hAnsi="宋体" w:eastAsia="宋体" w:cs="宋体"/>
          <w:b w:val="0"/>
          <w:bCs/>
          <w:color w:val="000000"/>
          <w:spacing w:val="0"/>
          <w:sz w:val="24"/>
          <w:szCs w:val="24"/>
          <w:highlight w:val="none"/>
          <w:lang w:val="en-US" w:eastAsia="en-US" w:bidi="ar-SA"/>
        </w:rPr>
        <w:t>处理设施出水点位和4个养殖尾水点位，初步构建全省农业面源 污染监测网络。2023年1月， 印发实施《江苏省农业面源污染监 测评估实施方案（2023—2025年）》，分批次有序推进地面综合 监测、遥感监测地面校验、负荷核算验证和省级监测评估体系建设等工作。</w:t>
      </w:r>
    </w:p>
    <w:p w14:paraId="4DEDB995">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rtl w:val="0"/>
          <w:lang w:val="en-US" w:eastAsia="en-US" w:bidi="ar-SA"/>
        </w:rPr>
      </w:pPr>
      <w:r>
        <w:rPr>
          <w:rFonts w:hint="eastAsia" w:ascii="宋体" w:hAnsi="宋体" w:eastAsia="宋体" w:cs="宋体"/>
          <w:b w:val="0"/>
          <w:bCs/>
          <w:color w:val="000000"/>
          <w:spacing w:val="0"/>
          <w:sz w:val="24"/>
          <w:szCs w:val="24"/>
          <w:highlight w:val="none"/>
          <w:lang w:val="en-US" w:eastAsia="zh-CN" w:bidi="ar-SA"/>
        </w:rPr>
        <w:t>（三）</w:t>
      </w:r>
      <w:r>
        <w:rPr>
          <w:rFonts w:hint="eastAsia" w:ascii="宋体" w:hAnsi="宋体" w:eastAsia="宋体" w:cs="宋体"/>
          <w:b w:val="0"/>
          <w:bCs/>
          <w:color w:val="000000"/>
          <w:spacing w:val="0"/>
          <w:sz w:val="24"/>
          <w:szCs w:val="24"/>
          <w:highlight w:val="none"/>
          <w:rtl w:val="0"/>
          <w:lang w:val="en-US" w:eastAsia="en-US" w:bidi="ar-SA"/>
        </w:rPr>
        <w:t>项目建设必要性</w:t>
      </w:r>
    </w:p>
    <w:p w14:paraId="53728B0E">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我省农业面源污染监测基础设施存在短板，仍以人工采样和 实验室分析为主。江苏省2023年生态环境监测方案中明确要求， 农业面源污染监测区地表水监测应针对降水、灌溉等引起的地表 径流污染排放过程，开展初、中、末期跟踪加密监测。但目前尚 未设置农业面源污染自动采样或观测站，严重制约了面源污染监 测的全面性、代表性和时效性，难以捕捉农业面源排放过程的关 键数据信息。</w:t>
      </w:r>
    </w:p>
    <w:p w14:paraId="2D74AF82">
      <w:pPr>
        <w:keepNext w:val="0"/>
        <w:keepLines w:val="0"/>
        <w:pageBreakBefore w:val="0"/>
        <w:widowControl w:val="0"/>
        <w:spacing w:before="0" w:after="0" w:line="440" w:lineRule="exact"/>
        <w:ind w:left="0" w:right="0" w:firstLine="480"/>
        <w:jc w:val="left"/>
        <w:rPr>
          <w:rFonts w:hint="eastAsia" w:ascii="宋体" w:hAnsi="宋体" w:eastAsia="宋体" w:cs="宋体"/>
          <w:b/>
          <w:color w:val="000000"/>
          <w:sz w:val="24"/>
          <w:szCs w:val="24"/>
          <w:highlight w:val="none"/>
          <w:rtl w:val="0"/>
          <w:lang w:val="en-US" w:eastAsia="en-US"/>
        </w:rPr>
      </w:pPr>
      <w:r>
        <w:rPr>
          <w:rFonts w:hint="eastAsia" w:ascii="宋体" w:hAnsi="宋体" w:eastAsia="宋体" w:cs="宋体"/>
          <w:b w:val="0"/>
          <w:bCs/>
          <w:color w:val="000000"/>
          <w:spacing w:val="0"/>
          <w:sz w:val="24"/>
          <w:szCs w:val="24"/>
          <w:highlight w:val="none"/>
          <w:lang w:val="en-US" w:eastAsia="en-US" w:bidi="ar-SA"/>
        </w:rPr>
        <w:t>依据《江苏省农业面源污染监测网络完善工作方案》（苏环 办〔2023〕306号），沭阳县被划选的农业面源污染监测区的7 个进水和出水监测点位，需配套自动监测设备或布设带流速和流量监测的自动采样器。</w:t>
      </w:r>
    </w:p>
    <w:p w14:paraId="6FAC98BD">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rtl w:val="0"/>
          <w:lang w:val="en-US" w:eastAsia="en-US" w:bidi="ar-SA"/>
        </w:rPr>
      </w:pPr>
      <w:r>
        <w:rPr>
          <w:rFonts w:hint="eastAsia" w:ascii="宋体" w:hAnsi="宋体" w:eastAsia="宋体" w:cs="宋体"/>
          <w:b w:val="0"/>
          <w:bCs/>
          <w:color w:val="000000"/>
          <w:spacing w:val="0"/>
          <w:sz w:val="24"/>
          <w:szCs w:val="24"/>
          <w:highlight w:val="none"/>
          <w:rtl w:val="0"/>
          <w:lang w:val="en-US" w:eastAsia="zh-CN" w:bidi="ar-SA"/>
        </w:rPr>
        <w:t>（四）</w:t>
      </w:r>
      <w:r>
        <w:rPr>
          <w:rFonts w:hint="eastAsia" w:ascii="宋体" w:hAnsi="宋体" w:eastAsia="宋体" w:cs="宋体"/>
          <w:b w:val="0"/>
          <w:bCs/>
          <w:color w:val="000000"/>
          <w:spacing w:val="0"/>
          <w:sz w:val="24"/>
          <w:szCs w:val="24"/>
          <w:highlight w:val="none"/>
          <w:rtl w:val="0"/>
          <w:lang w:val="en-US" w:eastAsia="en-US" w:bidi="ar-SA"/>
        </w:rPr>
        <w:t>点位设置</w:t>
      </w:r>
    </w:p>
    <w:p w14:paraId="2918D1DB">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宿迁市沂北监测区隶属于宿迁市沭阳县沂北灌溉区，沭阳县 是产粮大县、化肥减量县、畜牧大县，沂北灌区是农业面源污染 试点监测区域，也是农田退水监测灌区，监测区见图4-1。该区 域主要农业面源类型为种植、畜禽养殖，主要农产品为小麦、水 稻、 生猪。</w:t>
      </w:r>
    </w:p>
    <w:p w14:paraId="0BAB7C0E">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r>
        <w:drawing>
          <wp:anchor distT="0" distB="0" distL="0" distR="0" simplePos="0" relativeHeight="251659264" behindDoc="1" locked="0" layoutInCell="1" allowOverlap="1">
            <wp:simplePos x="0" y="0"/>
            <wp:positionH relativeFrom="column">
              <wp:posOffset>412750</wp:posOffset>
            </wp:positionH>
            <wp:positionV relativeFrom="paragraph">
              <wp:posOffset>73660</wp:posOffset>
            </wp:positionV>
            <wp:extent cx="4791075" cy="2239010"/>
            <wp:effectExtent l="0" t="0" r="9525" b="889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9"/>
                    <a:stretch>
                      <a:fillRect/>
                    </a:stretch>
                  </pic:blipFill>
                  <pic:spPr>
                    <a:xfrm>
                      <a:off x="0" y="0"/>
                      <a:ext cx="4791075" cy="2239010"/>
                    </a:xfrm>
                    <a:prstGeom prst="rect">
                      <a:avLst/>
                    </a:prstGeom>
                    <a:noFill/>
                    <a:ln>
                      <a:noFill/>
                    </a:ln>
                  </pic:spPr>
                </pic:pic>
              </a:graphicData>
            </a:graphic>
          </wp:anchor>
        </w:drawing>
      </w:r>
    </w:p>
    <w:p w14:paraId="0E319C44">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7C1EE5B1">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2FB2252F">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7BEDC5A3">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171515A9">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46F9E4E9">
      <w:pPr>
        <w:kinsoku w:val="0"/>
        <w:autoSpaceDE w:val="0"/>
        <w:autoSpaceDN w:val="0"/>
        <w:adjustRightInd w:val="0"/>
        <w:snapToGrid w:val="0"/>
        <w:spacing w:line="465" w:lineRule="auto"/>
        <w:jc w:val="left"/>
        <w:textAlignment w:val="baseline"/>
        <w:rPr>
          <w:rFonts w:ascii="Arial" w:hAnsi="Arial" w:eastAsia="Arial" w:cs="Arial"/>
          <w:snapToGrid w:val="0"/>
          <w:color w:val="000000"/>
          <w:kern w:val="0"/>
          <w:sz w:val="21"/>
          <w:szCs w:val="21"/>
          <w:lang w:val="en-US" w:eastAsia="en-US" w:bidi="ar-SA"/>
        </w:rPr>
      </w:pPr>
    </w:p>
    <w:p w14:paraId="04A8E1AE">
      <w:pPr>
        <w:keepNext w:val="0"/>
        <w:keepLines w:val="0"/>
        <w:pageBreakBefore w:val="0"/>
        <w:widowControl w:val="0"/>
        <w:spacing w:before="0" w:after="0" w:line="440" w:lineRule="exact"/>
        <w:ind w:right="0"/>
        <w:jc w:val="left"/>
        <w:rPr>
          <w:rFonts w:hint="eastAsia" w:ascii="宋体" w:hAnsi="宋体" w:eastAsia="宋体" w:cs="宋体"/>
          <w:b w:val="0"/>
          <w:bCs/>
          <w:color w:val="000000"/>
          <w:spacing w:val="0"/>
          <w:sz w:val="24"/>
          <w:szCs w:val="24"/>
          <w:highlight w:val="none"/>
          <w:lang w:val="en-US" w:eastAsia="en-US" w:bidi="ar-SA"/>
        </w:rPr>
      </w:pPr>
    </w:p>
    <w:p w14:paraId="32006C05">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图4-1  农业面源污染试点和农田退水监测灌区（沂北灌区）</w:t>
      </w:r>
    </w:p>
    <w:p w14:paraId="7BEFB7FD">
      <w:pPr>
        <w:keepNext w:val="0"/>
        <w:keepLines w:val="0"/>
        <w:pageBreakBefore w:val="0"/>
        <w:widowControl w:val="0"/>
        <w:spacing w:before="0" w:after="0" w:line="440" w:lineRule="exact"/>
        <w:ind w:left="0" w:right="0" w:firstLine="480"/>
        <w:jc w:val="left"/>
        <w:rPr>
          <w:rFonts w:ascii="方正仿宋_GBK" w:hAnsi="方正仿宋_GBK" w:eastAsia="方正仿宋_GBK" w:cs="方正仿宋_GBK"/>
          <w:sz w:val="31"/>
          <w:szCs w:val="31"/>
        </w:rPr>
      </w:pPr>
      <w:r>
        <w:rPr>
          <w:rFonts w:hint="eastAsia" w:ascii="宋体" w:hAnsi="宋体" w:eastAsia="宋体" w:cs="宋体"/>
          <w:b w:val="0"/>
          <w:bCs/>
          <w:color w:val="000000"/>
          <w:spacing w:val="0"/>
          <w:sz w:val="24"/>
          <w:szCs w:val="24"/>
          <w:highlight w:val="none"/>
          <w:lang w:val="en-US" w:eastAsia="en-US" w:bidi="ar-SA"/>
        </w:rPr>
        <w:t>宿迁市沂北监测区共布设7个地表水点位，其中4个入境点和 3个出境点，详见图4-2和表4-1。</w:t>
      </w:r>
    </w:p>
    <w:p w14:paraId="053E576B">
      <w:pPr>
        <w:spacing w:line="292" w:lineRule="auto"/>
        <w:rPr>
          <w:position w:val="-241"/>
        </w:rPr>
      </w:pPr>
      <w:r>
        <w:rPr>
          <w:position w:val="-241"/>
        </w:rPr>
        <w:drawing>
          <wp:inline distT="0" distB="0" distL="114300" distR="114300">
            <wp:extent cx="5193030" cy="5851525"/>
            <wp:effectExtent l="0" t="0" r="7620" b="15875"/>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10"/>
                    <a:stretch>
                      <a:fillRect/>
                    </a:stretch>
                  </pic:blipFill>
                  <pic:spPr>
                    <a:xfrm>
                      <a:off x="0" y="0"/>
                      <a:ext cx="5193030" cy="5851525"/>
                    </a:xfrm>
                    <a:prstGeom prst="rect">
                      <a:avLst/>
                    </a:prstGeom>
                    <a:noFill/>
                    <a:ln>
                      <a:noFill/>
                    </a:ln>
                  </pic:spPr>
                </pic:pic>
              </a:graphicData>
            </a:graphic>
          </wp:inline>
        </w:drawing>
      </w:r>
    </w:p>
    <w:p w14:paraId="3B490D32">
      <w:pPr>
        <w:widowControl/>
        <w:kinsoku w:val="0"/>
        <w:autoSpaceDE w:val="0"/>
        <w:autoSpaceDN w:val="0"/>
        <w:adjustRightInd w:val="0"/>
        <w:snapToGrid w:val="0"/>
        <w:spacing w:before="102" w:line="188" w:lineRule="auto"/>
        <w:ind w:left="1054"/>
        <w:jc w:val="left"/>
        <w:textAlignment w:val="baseline"/>
        <w:rPr>
          <w:rFonts w:ascii="方正仿宋_GBK" w:hAnsi="方正仿宋_GBK" w:eastAsia="方正仿宋_GBK" w:cs="方正仿宋_GBK"/>
          <w:snapToGrid w:val="0"/>
          <w:color w:val="000000"/>
          <w:kern w:val="0"/>
          <w:sz w:val="28"/>
          <w:szCs w:val="28"/>
          <w:lang w:eastAsia="en-US"/>
        </w:rPr>
      </w:pPr>
      <w:r>
        <w:rPr>
          <w:rFonts w:ascii="方正仿宋_GBK" w:hAnsi="方正仿宋_GBK" w:eastAsia="方正仿宋_GBK" w:cs="方正仿宋_GBK"/>
          <w:b/>
          <w:bCs/>
          <w:snapToGrid w:val="0"/>
          <w:color w:val="000000"/>
          <w:spacing w:val="-2"/>
          <w:kern w:val="0"/>
          <w:sz w:val="28"/>
          <w:szCs w:val="28"/>
          <w:lang w:eastAsia="en-US"/>
        </w:rPr>
        <w:t>表</w:t>
      </w:r>
      <w:r>
        <w:rPr>
          <w:rFonts w:ascii="Times New Roman" w:hAnsi="Times New Roman" w:eastAsia="Times New Roman" w:cs="Times New Roman"/>
          <w:b/>
          <w:bCs/>
          <w:snapToGrid w:val="0"/>
          <w:color w:val="000000"/>
          <w:spacing w:val="-2"/>
          <w:kern w:val="0"/>
          <w:sz w:val="28"/>
          <w:szCs w:val="28"/>
          <w:lang w:eastAsia="en-US"/>
        </w:rPr>
        <w:t xml:space="preserve">4-1  </w:t>
      </w:r>
      <w:r>
        <w:rPr>
          <w:rFonts w:ascii="方正仿宋_GBK" w:hAnsi="方正仿宋_GBK" w:eastAsia="方正仿宋_GBK" w:cs="方正仿宋_GBK"/>
          <w:b/>
          <w:bCs/>
          <w:snapToGrid w:val="0"/>
          <w:color w:val="000000"/>
          <w:spacing w:val="-2"/>
          <w:kern w:val="0"/>
          <w:sz w:val="28"/>
          <w:szCs w:val="28"/>
          <w:lang w:eastAsia="en-US"/>
        </w:rPr>
        <w:t>宿迁市沂北监测区农业面源污染监测区地表水点位信息</w:t>
      </w:r>
    </w:p>
    <w:tbl>
      <w:tblPr>
        <w:tblStyle w:val="438"/>
        <w:tblW w:w="90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320"/>
        <w:gridCol w:w="2141"/>
        <w:gridCol w:w="1090"/>
        <w:gridCol w:w="1231"/>
        <w:gridCol w:w="1391"/>
        <w:gridCol w:w="1178"/>
      </w:tblGrid>
      <w:tr w14:paraId="617C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708" w:type="dxa"/>
            <w:noWrap w:val="0"/>
            <w:vAlign w:val="top"/>
          </w:tcPr>
          <w:p w14:paraId="35EF515D">
            <w:pPr>
              <w:pStyle w:val="461"/>
              <w:widowControl/>
              <w:spacing w:before="37" w:line="192" w:lineRule="auto"/>
              <w:ind w:left="152"/>
            </w:pPr>
            <w:r>
              <w:rPr>
                <w:b/>
                <w:bCs/>
                <w:spacing w:val="1"/>
              </w:rPr>
              <w:t>序号</w:t>
            </w:r>
          </w:p>
        </w:tc>
        <w:tc>
          <w:tcPr>
            <w:tcW w:w="1320" w:type="dxa"/>
            <w:noWrap w:val="0"/>
            <w:vAlign w:val="top"/>
          </w:tcPr>
          <w:p w14:paraId="2F22C8CB">
            <w:pPr>
              <w:pStyle w:val="461"/>
              <w:widowControl/>
              <w:spacing w:before="37" w:line="192" w:lineRule="auto"/>
              <w:ind w:left="244"/>
            </w:pPr>
            <w:r>
              <w:rPr>
                <w:b/>
                <w:bCs/>
                <w:spacing w:val="5"/>
              </w:rPr>
              <w:t>水体名称</w:t>
            </w:r>
          </w:p>
        </w:tc>
        <w:tc>
          <w:tcPr>
            <w:tcW w:w="2141" w:type="dxa"/>
            <w:noWrap w:val="0"/>
            <w:vAlign w:val="top"/>
          </w:tcPr>
          <w:p w14:paraId="72F1107B">
            <w:pPr>
              <w:pStyle w:val="461"/>
              <w:widowControl/>
              <w:spacing w:before="37" w:line="192" w:lineRule="auto"/>
              <w:ind w:left="668"/>
            </w:pPr>
            <w:r>
              <w:rPr>
                <w:b/>
                <w:bCs/>
                <w:spacing w:val="2"/>
              </w:rPr>
              <w:t>点位名称</w:t>
            </w:r>
          </w:p>
        </w:tc>
        <w:tc>
          <w:tcPr>
            <w:tcW w:w="1090" w:type="dxa"/>
            <w:noWrap w:val="0"/>
            <w:vAlign w:val="top"/>
          </w:tcPr>
          <w:p w14:paraId="65F34C9E">
            <w:pPr>
              <w:pStyle w:val="461"/>
              <w:widowControl/>
              <w:spacing w:before="37" w:line="192" w:lineRule="auto"/>
              <w:ind w:left="182"/>
            </w:pPr>
            <w:r>
              <w:rPr>
                <w:b/>
                <w:bCs/>
                <w:spacing w:val="-1"/>
              </w:rPr>
              <w:t>经度(°)</w:t>
            </w:r>
          </w:p>
        </w:tc>
        <w:tc>
          <w:tcPr>
            <w:tcW w:w="1231" w:type="dxa"/>
            <w:noWrap w:val="0"/>
            <w:vAlign w:val="top"/>
          </w:tcPr>
          <w:p w14:paraId="740B7C30">
            <w:pPr>
              <w:pStyle w:val="461"/>
              <w:widowControl/>
              <w:spacing w:before="37" w:line="192" w:lineRule="auto"/>
              <w:ind w:left="256"/>
            </w:pPr>
            <w:r>
              <w:rPr>
                <w:b/>
                <w:bCs/>
                <w:spacing w:val="-1"/>
              </w:rPr>
              <w:t>纬度(°)</w:t>
            </w:r>
          </w:p>
        </w:tc>
        <w:tc>
          <w:tcPr>
            <w:tcW w:w="1391" w:type="dxa"/>
            <w:noWrap w:val="0"/>
            <w:vAlign w:val="top"/>
          </w:tcPr>
          <w:p w14:paraId="47601834">
            <w:pPr>
              <w:pStyle w:val="461"/>
              <w:widowControl/>
              <w:spacing w:before="37" w:line="192" w:lineRule="auto"/>
              <w:ind w:left="298"/>
            </w:pPr>
            <w:r>
              <w:rPr>
                <w:b/>
                <w:bCs/>
                <w:spacing w:val="2"/>
              </w:rPr>
              <w:t>点位属性</w:t>
            </w:r>
          </w:p>
        </w:tc>
        <w:tc>
          <w:tcPr>
            <w:tcW w:w="1178" w:type="dxa"/>
            <w:noWrap w:val="0"/>
            <w:vAlign w:val="top"/>
          </w:tcPr>
          <w:p w14:paraId="3C6708D6">
            <w:pPr>
              <w:pStyle w:val="461"/>
              <w:widowControl/>
              <w:spacing w:before="37" w:line="192" w:lineRule="auto"/>
              <w:ind w:left="188"/>
            </w:pPr>
            <w:r>
              <w:rPr>
                <w:b/>
                <w:bCs/>
                <w:spacing w:val="2"/>
              </w:rPr>
              <w:t>点位类型</w:t>
            </w:r>
          </w:p>
        </w:tc>
      </w:tr>
      <w:tr w14:paraId="74D48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8" w:type="dxa"/>
            <w:noWrap w:val="0"/>
            <w:vAlign w:val="top"/>
          </w:tcPr>
          <w:p w14:paraId="1B77D22E">
            <w:pPr>
              <w:pStyle w:val="461"/>
              <w:widowControl/>
              <w:spacing w:before="66" w:line="164" w:lineRule="auto"/>
              <w:ind w:left="320"/>
            </w:pPr>
            <w:r>
              <w:t>1</w:t>
            </w:r>
          </w:p>
        </w:tc>
        <w:tc>
          <w:tcPr>
            <w:tcW w:w="1320" w:type="dxa"/>
            <w:noWrap w:val="0"/>
            <w:vAlign w:val="top"/>
          </w:tcPr>
          <w:p w14:paraId="52FDFAED">
            <w:pPr>
              <w:pStyle w:val="461"/>
              <w:widowControl/>
              <w:spacing w:before="31" w:line="192" w:lineRule="auto"/>
              <w:ind w:left="251"/>
            </w:pPr>
            <w:r>
              <w:rPr>
                <w:spacing w:val="5"/>
              </w:rPr>
              <w:t>新深陡沟</w:t>
            </w:r>
          </w:p>
        </w:tc>
        <w:tc>
          <w:tcPr>
            <w:tcW w:w="2141" w:type="dxa"/>
            <w:noWrap w:val="0"/>
            <w:vAlign w:val="top"/>
          </w:tcPr>
          <w:p w14:paraId="4D4497ED">
            <w:pPr>
              <w:pStyle w:val="461"/>
              <w:widowControl/>
              <w:spacing w:before="31" w:line="192" w:lineRule="auto"/>
              <w:ind w:left="344"/>
            </w:pPr>
            <w:r>
              <w:rPr>
                <w:spacing w:val="6"/>
              </w:rPr>
              <w:t>监测区域进水</w:t>
            </w:r>
            <w:r>
              <w:rPr>
                <w:spacing w:val="-36"/>
              </w:rPr>
              <w:t xml:space="preserve"> </w:t>
            </w:r>
            <w:r>
              <w:rPr>
                <w:spacing w:val="6"/>
              </w:rPr>
              <w:t>口</w:t>
            </w:r>
          </w:p>
        </w:tc>
        <w:tc>
          <w:tcPr>
            <w:tcW w:w="1090" w:type="dxa"/>
            <w:noWrap w:val="0"/>
            <w:vAlign w:val="top"/>
          </w:tcPr>
          <w:p w14:paraId="5E0AE98D">
            <w:pPr>
              <w:pStyle w:val="461"/>
              <w:widowControl/>
              <w:spacing w:before="66" w:line="164" w:lineRule="auto"/>
              <w:ind w:left="174"/>
            </w:pPr>
            <w:r>
              <w:rPr>
                <w:spacing w:val="-9"/>
              </w:rPr>
              <w:t>118.8904</w:t>
            </w:r>
          </w:p>
        </w:tc>
        <w:tc>
          <w:tcPr>
            <w:tcW w:w="1231" w:type="dxa"/>
            <w:noWrap w:val="0"/>
            <w:vAlign w:val="top"/>
          </w:tcPr>
          <w:p w14:paraId="60716E35">
            <w:pPr>
              <w:pStyle w:val="461"/>
              <w:widowControl/>
              <w:spacing w:before="64" w:line="165" w:lineRule="auto"/>
              <w:ind w:left="284"/>
            </w:pPr>
            <w:r>
              <w:rPr>
                <w:spacing w:val="-5"/>
              </w:rPr>
              <w:t>34.1677</w:t>
            </w:r>
          </w:p>
        </w:tc>
        <w:tc>
          <w:tcPr>
            <w:tcW w:w="1391" w:type="dxa"/>
            <w:noWrap w:val="0"/>
            <w:vAlign w:val="top"/>
          </w:tcPr>
          <w:p w14:paraId="195C61D5">
            <w:pPr>
              <w:pStyle w:val="461"/>
              <w:widowControl/>
              <w:spacing w:before="31" w:line="192" w:lineRule="auto"/>
              <w:ind w:left="183"/>
            </w:pPr>
            <w:r>
              <w:rPr>
                <w:spacing w:val="7"/>
              </w:rPr>
              <w:t>监测区进水</w:t>
            </w:r>
          </w:p>
        </w:tc>
        <w:tc>
          <w:tcPr>
            <w:tcW w:w="1178" w:type="dxa"/>
            <w:noWrap w:val="0"/>
            <w:vAlign w:val="top"/>
          </w:tcPr>
          <w:p w14:paraId="6D5B675F">
            <w:pPr>
              <w:pStyle w:val="461"/>
              <w:widowControl/>
              <w:spacing w:before="31" w:line="192" w:lineRule="auto"/>
              <w:ind w:left="177"/>
            </w:pPr>
            <w:r>
              <w:rPr>
                <w:spacing w:val="6"/>
              </w:rPr>
              <w:t>入境点位</w:t>
            </w:r>
          </w:p>
        </w:tc>
      </w:tr>
      <w:tr w14:paraId="7B6F6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08" w:type="dxa"/>
            <w:noWrap w:val="0"/>
            <w:vAlign w:val="top"/>
          </w:tcPr>
          <w:p w14:paraId="67CAB778">
            <w:pPr>
              <w:pStyle w:val="461"/>
              <w:widowControl/>
              <w:spacing w:before="68" w:line="162" w:lineRule="auto"/>
              <w:ind w:left="303"/>
            </w:pPr>
            <w:r>
              <w:t>2</w:t>
            </w:r>
          </w:p>
        </w:tc>
        <w:tc>
          <w:tcPr>
            <w:tcW w:w="1320" w:type="dxa"/>
            <w:noWrap w:val="0"/>
            <w:vAlign w:val="top"/>
          </w:tcPr>
          <w:p w14:paraId="14832502">
            <w:pPr>
              <w:pStyle w:val="461"/>
              <w:widowControl/>
              <w:spacing w:before="34" w:line="190" w:lineRule="auto"/>
              <w:ind w:left="367"/>
            </w:pPr>
            <w:r>
              <w:t>官沟河</w:t>
            </w:r>
          </w:p>
        </w:tc>
        <w:tc>
          <w:tcPr>
            <w:tcW w:w="2141" w:type="dxa"/>
            <w:noWrap w:val="0"/>
            <w:vAlign w:val="top"/>
          </w:tcPr>
          <w:p w14:paraId="66C66009">
            <w:pPr>
              <w:pStyle w:val="461"/>
              <w:widowControl/>
              <w:spacing w:before="34" w:line="190" w:lineRule="auto"/>
              <w:ind w:left="465"/>
            </w:pPr>
            <w:r>
              <w:rPr>
                <w:spacing w:val="4"/>
              </w:rPr>
              <w:t>官沟河进水点</w:t>
            </w:r>
          </w:p>
        </w:tc>
        <w:tc>
          <w:tcPr>
            <w:tcW w:w="1090" w:type="dxa"/>
            <w:noWrap w:val="0"/>
            <w:vAlign w:val="top"/>
          </w:tcPr>
          <w:p w14:paraId="172A6B97">
            <w:pPr>
              <w:pStyle w:val="461"/>
              <w:widowControl/>
              <w:spacing w:before="66" w:line="164" w:lineRule="auto"/>
              <w:ind w:left="174"/>
            </w:pPr>
            <w:r>
              <w:rPr>
                <w:spacing w:val="-7"/>
              </w:rPr>
              <w:t>118.9355</w:t>
            </w:r>
          </w:p>
        </w:tc>
        <w:tc>
          <w:tcPr>
            <w:tcW w:w="1231" w:type="dxa"/>
            <w:noWrap w:val="0"/>
            <w:vAlign w:val="top"/>
          </w:tcPr>
          <w:p w14:paraId="692F7D4E">
            <w:pPr>
              <w:pStyle w:val="461"/>
              <w:widowControl/>
              <w:spacing w:before="67" w:line="163" w:lineRule="auto"/>
              <w:ind w:left="284"/>
            </w:pPr>
            <w:r>
              <w:rPr>
                <w:spacing w:val="-5"/>
              </w:rPr>
              <w:t>34.1736</w:t>
            </w:r>
          </w:p>
        </w:tc>
        <w:tc>
          <w:tcPr>
            <w:tcW w:w="1391" w:type="dxa"/>
            <w:noWrap w:val="0"/>
            <w:vAlign w:val="top"/>
          </w:tcPr>
          <w:p w14:paraId="33A83BC2">
            <w:pPr>
              <w:pStyle w:val="461"/>
              <w:widowControl/>
              <w:spacing w:before="34" w:line="190" w:lineRule="auto"/>
              <w:ind w:left="183"/>
            </w:pPr>
            <w:r>
              <w:rPr>
                <w:spacing w:val="7"/>
              </w:rPr>
              <w:t>监测区进水</w:t>
            </w:r>
          </w:p>
        </w:tc>
        <w:tc>
          <w:tcPr>
            <w:tcW w:w="1178" w:type="dxa"/>
            <w:noWrap w:val="0"/>
            <w:vAlign w:val="top"/>
          </w:tcPr>
          <w:p w14:paraId="1EAE104B">
            <w:pPr>
              <w:pStyle w:val="461"/>
              <w:widowControl/>
              <w:spacing w:before="34" w:line="190" w:lineRule="auto"/>
              <w:ind w:left="177"/>
            </w:pPr>
            <w:r>
              <w:rPr>
                <w:spacing w:val="6"/>
              </w:rPr>
              <w:t>入境点位</w:t>
            </w:r>
          </w:p>
        </w:tc>
      </w:tr>
      <w:tr w14:paraId="243CC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8" w:type="dxa"/>
            <w:noWrap w:val="0"/>
            <w:vAlign w:val="top"/>
          </w:tcPr>
          <w:p w14:paraId="20365DBC">
            <w:pPr>
              <w:pStyle w:val="461"/>
              <w:widowControl/>
              <w:spacing w:before="70" w:line="161" w:lineRule="auto"/>
              <w:ind w:left="306"/>
            </w:pPr>
            <w:r>
              <w:t>3</w:t>
            </w:r>
          </w:p>
        </w:tc>
        <w:tc>
          <w:tcPr>
            <w:tcW w:w="1320" w:type="dxa"/>
            <w:noWrap w:val="0"/>
            <w:vAlign w:val="top"/>
          </w:tcPr>
          <w:p w14:paraId="6D94F5D3">
            <w:pPr>
              <w:pStyle w:val="461"/>
              <w:widowControl/>
              <w:spacing w:before="36" w:line="189" w:lineRule="auto"/>
              <w:ind w:left="241"/>
            </w:pPr>
            <w:r>
              <w:rPr>
                <w:spacing w:val="8"/>
              </w:rPr>
              <w:t>老深陡沟</w:t>
            </w:r>
          </w:p>
        </w:tc>
        <w:tc>
          <w:tcPr>
            <w:tcW w:w="2141" w:type="dxa"/>
            <w:noWrap w:val="0"/>
            <w:vAlign w:val="top"/>
          </w:tcPr>
          <w:p w14:paraId="4014AE17">
            <w:pPr>
              <w:pStyle w:val="461"/>
              <w:widowControl/>
              <w:spacing w:before="36" w:line="189" w:lineRule="auto"/>
              <w:ind w:left="128"/>
            </w:pPr>
            <w:r>
              <w:rPr>
                <w:spacing w:val="9"/>
              </w:rPr>
              <w:t>老深陡沟入监测区点</w:t>
            </w:r>
          </w:p>
        </w:tc>
        <w:tc>
          <w:tcPr>
            <w:tcW w:w="1090" w:type="dxa"/>
            <w:noWrap w:val="0"/>
            <w:vAlign w:val="top"/>
          </w:tcPr>
          <w:p w14:paraId="592360BD">
            <w:pPr>
              <w:pStyle w:val="461"/>
              <w:widowControl/>
              <w:spacing w:before="70" w:line="161" w:lineRule="auto"/>
              <w:ind w:left="174"/>
            </w:pPr>
            <w:r>
              <w:rPr>
                <w:spacing w:val="-9"/>
              </w:rPr>
              <w:t>118.8897</w:t>
            </w:r>
          </w:p>
        </w:tc>
        <w:tc>
          <w:tcPr>
            <w:tcW w:w="1231" w:type="dxa"/>
            <w:noWrap w:val="0"/>
            <w:vAlign w:val="top"/>
          </w:tcPr>
          <w:p w14:paraId="5F2EFE32">
            <w:pPr>
              <w:pStyle w:val="461"/>
              <w:widowControl/>
              <w:spacing w:before="69" w:line="162" w:lineRule="auto"/>
              <w:ind w:left="284"/>
            </w:pPr>
            <w:r>
              <w:rPr>
                <w:spacing w:val="-2"/>
              </w:rPr>
              <w:t>34.2641</w:t>
            </w:r>
          </w:p>
        </w:tc>
        <w:tc>
          <w:tcPr>
            <w:tcW w:w="1391" w:type="dxa"/>
            <w:noWrap w:val="0"/>
            <w:vAlign w:val="top"/>
          </w:tcPr>
          <w:p w14:paraId="50E7B8FE">
            <w:pPr>
              <w:pStyle w:val="461"/>
              <w:widowControl/>
              <w:spacing w:before="36" w:line="189" w:lineRule="auto"/>
              <w:ind w:left="183"/>
            </w:pPr>
            <w:r>
              <w:rPr>
                <w:spacing w:val="7"/>
              </w:rPr>
              <w:t>监测区进水</w:t>
            </w:r>
          </w:p>
        </w:tc>
        <w:tc>
          <w:tcPr>
            <w:tcW w:w="1178" w:type="dxa"/>
            <w:noWrap w:val="0"/>
            <w:vAlign w:val="top"/>
          </w:tcPr>
          <w:p w14:paraId="34E3F841">
            <w:pPr>
              <w:pStyle w:val="461"/>
              <w:widowControl/>
              <w:spacing w:before="36" w:line="189" w:lineRule="auto"/>
              <w:ind w:left="177"/>
            </w:pPr>
            <w:r>
              <w:rPr>
                <w:spacing w:val="6"/>
              </w:rPr>
              <w:t>入境点位</w:t>
            </w:r>
          </w:p>
        </w:tc>
      </w:tr>
      <w:tr w14:paraId="52076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8" w:type="dxa"/>
            <w:noWrap w:val="0"/>
            <w:vAlign w:val="top"/>
          </w:tcPr>
          <w:p w14:paraId="52DCF23D">
            <w:pPr>
              <w:pStyle w:val="461"/>
              <w:widowControl/>
              <w:spacing w:before="69" w:line="162" w:lineRule="auto"/>
              <w:ind w:left="300"/>
            </w:pPr>
            <w:r>
              <w:t>4</w:t>
            </w:r>
          </w:p>
        </w:tc>
        <w:tc>
          <w:tcPr>
            <w:tcW w:w="1320" w:type="dxa"/>
            <w:noWrap w:val="0"/>
            <w:vAlign w:val="top"/>
          </w:tcPr>
          <w:p w14:paraId="3B09AEFF">
            <w:pPr>
              <w:pStyle w:val="461"/>
              <w:widowControl/>
              <w:spacing w:before="35" w:line="190" w:lineRule="auto"/>
              <w:ind w:left="140"/>
            </w:pPr>
            <w:r>
              <w:rPr>
                <w:spacing w:val="7"/>
              </w:rPr>
              <w:t>左洪河支渠</w:t>
            </w:r>
          </w:p>
        </w:tc>
        <w:tc>
          <w:tcPr>
            <w:tcW w:w="2141" w:type="dxa"/>
            <w:noWrap w:val="0"/>
            <w:vAlign w:val="top"/>
          </w:tcPr>
          <w:p w14:paraId="09B2D330">
            <w:pPr>
              <w:pStyle w:val="461"/>
              <w:widowControl/>
              <w:spacing w:before="35" w:line="190" w:lineRule="auto"/>
              <w:ind w:left="236"/>
            </w:pPr>
            <w:r>
              <w:rPr>
                <w:spacing w:val="8"/>
              </w:rPr>
              <w:t>左洪河支渠进水点</w:t>
            </w:r>
          </w:p>
        </w:tc>
        <w:tc>
          <w:tcPr>
            <w:tcW w:w="1090" w:type="dxa"/>
            <w:noWrap w:val="0"/>
            <w:vAlign w:val="top"/>
          </w:tcPr>
          <w:p w14:paraId="78D106FD">
            <w:pPr>
              <w:pStyle w:val="461"/>
              <w:widowControl/>
              <w:spacing w:before="67" w:line="164" w:lineRule="auto"/>
              <w:ind w:left="174"/>
            </w:pPr>
            <w:r>
              <w:rPr>
                <w:spacing w:val="-8"/>
              </w:rPr>
              <w:t>118.9045</w:t>
            </w:r>
          </w:p>
        </w:tc>
        <w:tc>
          <w:tcPr>
            <w:tcW w:w="1231" w:type="dxa"/>
            <w:noWrap w:val="0"/>
            <w:vAlign w:val="top"/>
          </w:tcPr>
          <w:p w14:paraId="2B6EA7B3">
            <w:pPr>
              <w:pStyle w:val="461"/>
              <w:widowControl/>
              <w:spacing w:before="69" w:line="162" w:lineRule="auto"/>
              <w:ind w:left="284"/>
            </w:pPr>
            <w:r>
              <w:rPr>
                <w:spacing w:val="-5"/>
              </w:rPr>
              <w:t>34.1708</w:t>
            </w:r>
          </w:p>
        </w:tc>
        <w:tc>
          <w:tcPr>
            <w:tcW w:w="1391" w:type="dxa"/>
            <w:noWrap w:val="0"/>
            <w:vAlign w:val="top"/>
          </w:tcPr>
          <w:p w14:paraId="34EC39FD">
            <w:pPr>
              <w:pStyle w:val="461"/>
              <w:widowControl/>
              <w:spacing w:before="35" w:line="190" w:lineRule="auto"/>
              <w:ind w:left="183"/>
            </w:pPr>
            <w:r>
              <w:rPr>
                <w:spacing w:val="7"/>
              </w:rPr>
              <w:t>监测区进水</w:t>
            </w:r>
          </w:p>
        </w:tc>
        <w:tc>
          <w:tcPr>
            <w:tcW w:w="1178" w:type="dxa"/>
            <w:noWrap w:val="0"/>
            <w:vAlign w:val="top"/>
          </w:tcPr>
          <w:p w14:paraId="2E811DEF">
            <w:pPr>
              <w:pStyle w:val="461"/>
              <w:widowControl/>
              <w:spacing w:before="35" w:line="190" w:lineRule="auto"/>
              <w:ind w:left="177"/>
            </w:pPr>
            <w:r>
              <w:rPr>
                <w:spacing w:val="6"/>
              </w:rPr>
              <w:t>入境点位</w:t>
            </w:r>
          </w:p>
        </w:tc>
      </w:tr>
      <w:tr w14:paraId="6535B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8" w:type="dxa"/>
            <w:noWrap w:val="0"/>
            <w:vAlign w:val="top"/>
          </w:tcPr>
          <w:p w14:paraId="47DA84F7">
            <w:pPr>
              <w:pStyle w:val="461"/>
              <w:widowControl/>
              <w:spacing w:before="68" w:line="163" w:lineRule="auto"/>
              <w:ind w:left="304"/>
            </w:pPr>
            <w:r>
              <w:t>5</w:t>
            </w:r>
          </w:p>
        </w:tc>
        <w:tc>
          <w:tcPr>
            <w:tcW w:w="1320" w:type="dxa"/>
            <w:noWrap w:val="0"/>
            <w:vAlign w:val="top"/>
          </w:tcPr>
          <w:p w14:paraId="4590E697">
            <w:pPr>
              <w:pStyle w:val="461"/>
              <w:widowControl/>
              <w:spacing w:before="36" w:line="189" w:lineRule="auto"/>
              <w:ind w:left="251"/>
            </w:pPr>
            <w:r>
              <w:rPr>
                <w:spacing w:val="5"/>
              </w:rPr>
              <w:t>新深陡沟</w:t>
            </w:r>
          </w:p>
        </w:tc>
        <w:tc>
          <w:tcPr>
            <w:tcW w:w="2141" w:type="dxa"/>
            <w:noWrap w:val="0"/>
            <w:vAlign w:val="top"/>
          </w:tcPr>
          <w:p w14:paraId="454EE685">
            <w:pPr>
              <w:pStyle w:val="461"/>
              <w:widowControl/>
              <w:spacing w:before="36" w:line="189" w:lineRule="auto"/>
              <w:ind w:left="347"/>
            </w:pPr>
            <w:r>
              <w:rPr>
                <w:spacing w:val="7"/>
              </w:rPr>
              <w:t>新深陡沟出水点</w:t>
            </w:r>
          </w:p>
        </w:tc>
        <w:tc>
          <w:tcPr>
            <w:tcW w:w="1090" w:type="dxa"/>
            <w:noWrap w:val="0"/>
            <w:vAlign w:val="top"/>
          </w:tcPr>
          <w:p w14:paraId="4530CD0B">
            <w:pPr>
              <w:pStyle w:val="461"/>
              <w:widowControl/>
              <w:spacing w:before="69" w:line="162" w:lineRule="auto"/>
              <w:ind w:left="174"/>
            </w:pPr>
            <w:r>
              <w:rPr>
                <w:spacing w:val="-9"/>
              </w:rPr>
              <w:t>118.8896</w:t>
            </w:r>
          </w:p>
        </w:tc>
        <w:tc>
          <w:tcPr>
            <w:tcW w:w="1231" w:type="dxa"/>
            <w:noWrap w:val="0"/>
            <w:vAlign w:val="top"/>
          </w:tcPr>
          <w:p w14:paraId="45B55F7F">
            <w:pPr>
              <w:pStyle w:val="461"/>
              <w:widowControl/>
              <w:spacing w:before="68" w:line="163" w:lineRule="auto"/>
              <w:ind w:left="284"/>
            </w:pPr>
            <w:r>
              <w:t>34.2856</w:t>
            </w:r>
          </w:p>
        </w:tc>
        <w:tc>
          <w:tcPr>
            <w:tcW w:w="1391" w:type="dxa"/>
            <w:noWrap w:val="0"/>
            <w:vAlign w:val="top"/>
          </w:tcPr>
          <w:p w14:paraId="3EED180F">
            <w:pPr>
              <w:pStyle w:val="461"/>
              <w:widowControl/>
              <w:spacing w:before="36" w:line="189" w:lineRule="auto"/>
              <w:ind w:left="183"/>
            </w:pPr>
            <w:r>
              <w:rPr>
                <w:spacing w:val="7"/>
              </w:rPr>
              <w:t>监测区出水</w:t>
            </w:r>
          </w:p>
        </w:tc>
        <w:tc>
          <w:tcPr>
            <w:tcW w:w="1178" w:type="dxa"/>
            <w:noWrap w:val="0"/>
            <w:vAlign w:val="top"/>
          </w:tcPr>
          <w:p w14:paraId="2C33559C">
            <w:pPr>
              <w:pStyle w:val="461"/>
              <w:widowControl/>
              <w:spacing w:before="36" w:line="189" w:lineRule="auto"/>
              <w:ind w:left="203"/>
            </w:pPr>
            <w:r>
              <w:t>出境点位</w:t>
            </w:r>
          </w:p>
        </w:tc>
      </w:tr>
      <w:tr w14:paraId="167B9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08" w:type="dxa"/>
            <w:noWrap w:val="0"/>
            <w:vAlign w:val="top"/>
          </w:tcPr>
          <w:p w14:paraId="29A1E3A6">
            <w:pPr>
              <w:pStyle w:val="461"/>
              <w:widowControl/>
              <w:spacing w:before="70" w:line="161" w:lineRule="auto"/>
              <w:ind w:left="304"/>
            </w:pPr>
            <w:r>
              <w:rPr>
                <w:spacing w:val="1"/>
              </w:rPr>
              <w:t>6</w:t>
            </w:r>
          </w:p>
        </w:tc>
        <w:tc>
          <w:tcPr>
            <w:tcW w:w="1320" w:type="dxa"/>
            <w:noWrap w:val="0"/>
            <w:vAlign w:val="top"/>
          </w:tcPr>
          <w:p w14:paraId="57D483AF">
            <w:pPr>
              <w:pStyle w:val="461"/>
              <w:widowControl/>
              <w:spacing w:before="37" w:line="188" w:lineRule="auto"/>
              <w:ind w:left="349"/>
            </w:pPr>
            <w:r>
              <w:rPr>
                <w:spacing w:val="6"/>
              </w:rPr>
              <w:t>左洪河</w:t>
            </w:r>
          </w:p>
        </w:tc>
        <w:tc>
          <w:tcPr>
            <w:tcW w:w="2141" w:type="dxa"/>
            <w:noWrap w:val="0"/>
            <w:vAlign w:val="top"/>
          </w:tcPr>
          <w:p w14:paraId="78A43088">
            <w:pPr>
              <w:pStyle w:val="461"/>
              <w:widowControl/>
              <w:spacing w:before="37" w:line="188" w:lineRule="auto"/>
              <w:ind w:left="447"/>
            </w:pPr>
            <w:r>
              <w:rPr>
                <w:spacing w:val="7"/>
              </w:rPr>
              <w:t>左洪河出水点</w:t>
            </w:r>
          </w:p>
        </w:tc>
        <w:tc>
          <w:tcPr>
            <w:tcW w:w="1090" w:type="dxa"/>
            <w:noWrap w:val="0"/>
            <w:vAlign w:val="top"/>
          </w:tcPr>
          <w:p w14:paraId="2A9E3673">
            <w:pPr>
              <w:pStyle w:val="461"/>
              <w:widowControl/>
              <w:spacing w:before="69" w:line="162" w:lineRule="auto"/>
              <w:ind w:left="174"/>
            </w:pPr>
            <w:r>
              <w:rPr>
                <w:spacing w:val="-15"/>
              </w:rPr>
              <w:t>118.9115</w:t>
            </w:r>
          </w:p>
        </w:tc>
        <w:tc>
          <w:tcPr>
            <w:tcW w:w="1231" w:type="dxa"/>
            <w:noWrap w:val="0"/>
            <w:vAlign w:val="top"/>
          </w:tcPr>
          <w:p w14:paraId="7BC48CFD">
            <w:pPr>
              <w:pStyle w:val="461"/>
              <w:widowControl/>
              <w:spacing w:before="70" w:line="161" w:lineRule="auto"/>
              <w:ind w:left="284"/>
            </w:pPr>
            <w:r>
              <w:t>34.2860</w:t>
            </w:r>
          </w:p>
        </w:tc>
        <w:tc>
          <w:tcPr>
            <w:tcW w:w="1391" w:type="dxa"/>
            <w:noWrap w:val="0"/>
            <w:vAlign w:val="top"/>
          </w:tcPr>
          <w:p w14:paraId="5F639E19">
            <w:pPr>
              <w:pStyle w:val="461"/>
              <w:widowControl/>
              <w:spacing w:before="37" w:line="188" w:lineRule="auto"/>
              <w:ind w:left="183"/>
            </w:pPr>
            <w:r>
              <w:rPr>
                <w:spacing w:val="7"/>
              </w:rPr>
              <w:t>监测区出水</w:t>
            </w:r>
          </w:p>
        </w:tc>
        <w:tc>
          <w:tcPr>
            <w:tcW w:w="1178" w:type="dxa"/>
            <w:noWrap w:val="0"/>
            <w:vAlign w:val="top"/>
          </w:tcPr>
          <w:p w14:paraId="1FC933C9">
            <w:pPr>
              <w:pStyle w:val="461"/>
              <w:widowControl/>
              <w:spacing w:before="37" w:line="188" w:lineRule="auto"/>
              <w:ind w:left="203"/>
            </w:pPr>
            <w:r>
              <w:t>出境点位</w:t>
            </w:r>
          </w:p>
        </w:tc>
      </w:tr>
      <w:tr w14:paraId="48827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08" w:type="dxa"/>
            <w:noWrap w:val="0"/>
            <w:vAlign w:val="top"/>
          </w:tcPr>
          <w:p w14:paraId="3D1AE3EE">
            <w:pPr>
              <w:pStyle w:val="461"/>
              <w:widowControl/>
              <w:spacing w:before="73" w:line="162" w:lineRule="auto"/>
              <w:ind w:left="302"/>
            </w:pPr>
            <w:r>
              <w:t>7</w:t>
            </w:r>
          </w:p>
        </w:tc>
        <w:tc>
          <w:tcPr>
            <w:tcW w:w="1320" w:type="dxa"/>
            <w:noWrap w:val="0"/>
            <w:vAlign w:val="top"/>
          </w:tcPr>
          <w:p w14:paraId="731CE365">
            <w:pPr>
              <w:pStyle w:val="461"/>
              <w:widowControl/>
              <w:spacing w:before="35" w:line="193" w:lineRule="auto"/>
              <w:ind w:left="367"/>
            </w:pPr>
            <w:r>
              <w:t>官沟河</w:t>
            </w:r>
          </w:p>
        </w:tc>
        <w:tc>
          <w:tcPr>
            <w:tcW w:w="2141" w:type="dxa"/>
            <w:noWrap w:val="0"/>
            <w:vAlign w:val="top"/>
          </w:tcPr>
          <w:p w14:paraId="41150154">
            <w:pPr>
              <w:pStyle w:val="461"/>
              <w:widowControl/>
              <w:spacing w:before="35" w:line="193" w:lineRule="auto"/>
              <w:ind w:left="465"/>
            </w:pPr>
            <w:r>
              <w:rPr>
                <w:spacing w:val="4"/>
              </w:rPr>
              <w:t>官沟河出水点</w:t>
            </w:r>
          </w:p>
        </w:tc>
        <w:tc>
          <w:tcPr>
            <w:tcW w:w="1090" w:type="dxa"/>
            <w:noWrap w:val="0"/>
            <w:vAlign w:val="top"/>
          </w:tcPr>
          <w:p w14:paraId="071C85F4">
            <w:pPr>
              <w:pStyle w:val="461"/>
              <w:widowControl/>
              <w:spacing w:before="71" w:line="164" w:lineRule="auto"/>
              <w:ind w:left="174"/>
            </w:pPr>
            <w:r>
              <w:rPr>
                <w:spacing w:val="-11"/>
              </w:rPr>
              <w:t>118.9448</w:t>
            </w:r>
          </w:p>
        </w:tc>
        <w:tc>
          <w:tcPr>
            <w:tcW w:w="1231" w:type="dxa"/>
            <w:noWrap w:val="0"/>
            <w:vAlign w:val="top"/>
          </w:tcPr>
          <w:p w14:paraId="2CE3706F">
            <w:pPr>
              <w:pStyle w:val="461"/>
              <w:widowControl/>
              <w:spacing w:before="71" w:line="164" w:lineRule="auto"/>
              <w:ind w:left="284"/>
            </w:pPr>
            <w:r>
              <w:rPr>
                <w:spacing w:val="-1"/>
              </w:rPr>
              <w:t>34.2897</w:t>
            </w:r>
          </w:p>
        </w:tc>
        <w:tc>
          <w:tcPr>
            <w:tcW w:w="1391" w:type="dxa"/>
            <w:noWrap w:val="0"/>
            <w:vAlign w:val="top"/>
          </w:tcPr>
          <w:p w14:paraId="4586EAC7">
            <w:pPr>
              <w:pStyle w:val="461"/>
              <w:widowControl/>
              <w:spacing w:before="35" w:line="193" w:lineRule="auto"/>
              <w:ind w:left="183"/>
            </w:pPr>
            <w:r>
              <w:rPr>
                <w:spacing w:val="7"/>
              </w:rPr>
              <w:t>监测区出水</w:t>
            </w:r>
          </w:p>
        </w:tc>
        <w:tc>
          <w:tcPr>
            <w:tcW w:w="1178" w:type="dxa"/>
            <w:noWrap w:val="0"/>
            <w:vAlign w:val="top"/>
          </w:tcPr>
          <w:p w14:paraId="6667C445">
            <w:pPr>
              <w:pStyle w:val="461"/>
              <w:widowControl/>
              <w:spacing w:before="35" w:line="193" w:lineRule="auto"/>
              <w:ind w:left="203"/>
            </w:pPr>
            <w:r>
              <w:t>出境点位</w:t>
            </w:r>
          </w:p>
        </w:tc>
      </w:tr>
    </w:tbl>
    <w:p w14:paraId="620944E3">
      <w:pPr>
        <w:spacing w:line="292" w:lineRule="auto"/>
        <w:rPr>
          <w:position w:val="-241"/>
        </w:rPr>
        <w:sectPr>
          <w:footerReference r:id="rId6" w:type="default"/>
          <w:type w:val="continuous"/>
          <w:pgSz w:w="11906" w:h="16839"/>
          <w:pgMar w:top="1431" w:right="1530" w:bottom="1185" w:left="1483" w:header="0" w:footer="969" w:gutter="0"/>
          <w:cols w:space="720" w:num="1"/>
        </w:sectPr>
      </w:pPr>
    </w:p>
    <w:p w14:paraId="07690B5F">
      <w:pPr>
        <w:numPr>
          <w:ilvl w:val="0"/>
          <w:numId w:val="0"/>
        </w:numPr>
        <w:spacing w:line="400" w:lineRule="exact"/>
        <w:ind w:leftChars="0"/>
        <w:jc w:val="both"/>
        <w:outlineLvl w:val="9"/>
        <w:rPr>
          <w:ins w:id="0" w:author="易大林" w:date="2025-07-18T15:20:44Z"/>
          <w:rFonts w:hint="eastAsia" w:ascii="宋体" w:hAnsi="宋体" w:eastAsia="宋体" w:cs="宋体"/>
          <w:b/>
          <w:color w:val="000000"/>
          <w:sz w:val="24"/>
          <w:szCs w:val="24"/>
          <w:highlight w:val="none"/>
          <w:rtl w:val="0"/>
          <w:lang w:val="en-US" w:eastAsia="zh-CN"/>
        </w:rPr>
      </w:pPr>
    </w:p>
    <w:p w14:paraId="18966CF1">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rtl w:val="0"/>
          <w:lang w:val="en-US" w:eastAsia="zh-CN" w:bidi="ar-SA"/>
        </w:rPr>
      </w:pPr>
      <w:r>
        <w:rPr>
          <w:rFonts w:hint="eastAsia" w:ascii="宋体" w:hAnsi="宋体" w:eastAsia="宋体" w:cs="宋体"/>
          <w:b w:val="0"/>
          <w:bCs/>
          <w:color w:val="000000"/>
          <w:spacing w:val="0"/>
          <w:sz w:val="24"/>
          <w:szCs w:val="24"/>
          <w:highlight w:val="none"/>
          <w:lang w:val="en-US" w:eastAsia="zh-CN" w:bidi="ar-SA"/>
        </w:rPr>
        <w:t>（五）</w:t>
      </w:r>
      <w:r>
        <w:rPr>
          <w:rFonts w:hint="eastAsia" w:ascii="宋体" w:hAnsi="宋体" w:eastAsia="宋体" w:cs="宋体"/>
          <w:b w:val="0"/>
          <w:bCs/>
          <w:color w:val="000000"/>
          <w:spacing w:val="0"/>
          <w:sz w:val="24"/>
          <w:szCs w:val="24"/>
          <w:highlight w:val="none"/>
          <w:rtl w:val="0"/>
          <w:lang w:val="en-US" w:eastAsia="zh-CN" w:bidi="ar-SA"/>
        </w:rPr>
        <w:t>各站点基本情况</w:t>
      </w:r>
    </w:p>
    <w:p w14:paraId="7587C081">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en-US" w:bidi="ar-SA"/>
        </w:rPr>
        <w:t>本项目在宿迁市沂北监测区7个地表水点位新建6个地表水 自动采样器和1个水质自动监测站（包含自动采样器），各点建 设基本情况见表4-2。</w:t>
      </w:r>
    </w:p>
    <w:p w14:paraId="2085D303">
      <w:pPr>
        <w:widowControl/>
        <w:kinsoku w:val="0"/>
        <w:autoSpaceDE w:val="0"/>
        <w:autoSpaceDN w:val="0"/>
        <w:adjustRightInd w:val="0"/>
        <w:snapToGrid w:val="0"/>
        <w:spacing w:before="1" w:line="187" w:lineRule="auto"/>
        <w:ind w:left="3374"/>
        <w:jc w:val="left"/>
        <w:textAlignment w:val="baseline"/>
        <w:outlineLvl w:val="0"/>
        <w:rPr>
          <w:rFonts w:ascii="方正仿宋_GBK" w:hAnsi="方正仿宋_GBK" w:eastAsia="方正仿宋_GBK" w:cs="方正仿宋_GBK"/>
          <w:snapToGrid w:val="0"/>
          <w:color w:val="000000"/>
          <w:kern w:val="0"/>
          <w:sz w:val="28"/>
          <w:szCs w:val="28"/>
          <w:lang w:eastAsia="en-US"/>
        </w:rPr>
      </w:pPr>
      <w:r>
        <w:rPr>
          <w:rFonts w:ascii="方正仿宋_GBK" w:hAnsi="方正仿宋_GBK" w:eastAsia="方正仿宋_GBK" w:cs="方正仿宋_GBK"/>
          <w:b/>
          <w:bCs/>
          <w:snapToGrid w:val="0"/>
          <w:color w:val="000000"/>
          <w:spacing w:val="-2"/>
          <w:kern w:val="0"/>
          <w:sz w:val="28"/>
          <w:szCs w:val="28"/>
          <w:lang w:eastAsia="en-US"/>
        </w:rPr>
        <w:t>表</w:t>
      </w:r>
      <w:r>
        <w:rPr>
          <w:rFonts w:ascii="Times New Roman" w:hAnsi="Times New Roman" w:eastAsia="Times New Roman" w:cs="Times New Roman"/>
          <w:b/>
          <w:bCs/>
          <w:snapToGrid w:val="0"/>
          <w:color w:val="000000"/>
          <w:spacing w:val="-2"/>
          <w:kern w:val="0"/>
          <w:sz w:val="28"/>
          <w:szCs w:val="28"/>
          <w:lang w:eastAsia="en-US"/>
        </w:rPr>
        <w:t xml:space="preserve">4-2    </w:t>
      </w:r>
      <w:r>
        <w:rPr>
          <w:rFonts w:ascii="方正仿宋_GBK" w:hAnsi="方正仿宋_GBK" w:eastAsia="方正仿宋_GBK" w:cs="方正仿宋_GBK"/>
          <w:b/>
          <w:bCs/>
          <w:snapToGrid w:val="0"/>
          <w:color w:val="000000"/>
          <w:spacing w:val="-2"/>
          <w:kern w:val="0"/>
          <w:sz w:val="28"/>
          <w:szCs w:val="28"/>
          <w:lang w:eastAsia="en-US"/>
        </w:rPr>
        <w:t>各站点基本情况</w:t>
      </w:r>
    </w:p>
    <w:tbl>
      <w:tblPr>
        <w:tblStyle w:val="438"/>
        <w:tblW w:w="90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1250"/>
        <w:gridCol w:w="1379"/>
        <w:gridCol w:w="1167"/>
        <w:gridCol w:w="2617"/>
        <w:gridCol w:w="1090"/>
        <w:gridCol w:w="989"/>
      </w:tblGrid>
      <w:tr w14:paraId="053CF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568" w:type="dxa"/>
            <w:noWrap w:val="0"/>
            <w:vAlign w:val="top"/>
          </w:tcPr>
          <w:p w14:paraId="6A616F48">
            <w:pPr>
              <w:pStyle w:val="461"/>
              <w:widowControl/>
              <w:spacing w:before="37" w:line="203" w:lineRule="auto"/>
              <w:ind w:left="130"/>
            </w:pPr>
            <w:r>
              <w:rPr>
                <w:b/>
                <w:bCs/>
                <w:spacing w:val="1"/>
              </w:rPr>
              <w:t>序号</w:t>
            </w:r>
          </w:p>
        </w:tc>
        <w:tc>
          <w:tcPr>
            <w:tcW w:w="1250" w:type="dxa"/>
            <w:noWrap w:val="0"/>
            <w:vAlign w:val="top"/>
          </w:tcPr>
          <w:p w14:paraId="1A0F4F83">
            <w:pPr>
              <w:pStyle w:val="461"/>
              <w:widowControl/>
              <w:spacing w:before="44" w:line="197" w:lineRule="auto"/>
              <w:ind w:left="167"/>
            </w:pPr>
            <w:r>
              <w:rPr>
                <w:b/>
                <w:bCs/>
                <w:spacing w:val="5"/>
              </w:rPr>
              <w:t>水体名称</w:t>
            </w:r>
          </w:p>
        </w:tc>
        <w:tc>
          <w:tcPr>
            <w:tcW w:w="1379" w:type="dxa"/>
            <w:noWrap w:val="0"/>
            <w:vAlign w:val="top"/>
          </w:tcPr>
          <w:p w14:paraId="0E7113D5">
            <w:pPr>
              <w:pStyle w:val="461"/>
              <w:widowControl/>
              <w:spacing w:before="44" w:line="197" w:lineRule="auto"/>
              <w:ind w:left="283"/>
            </w:pPr>
            <w:r>
              <w:rPr>
                <w:b/>
                <w:bCs/>
                <w:spacing w:val="2"/>
              </w:rPr>
              <w:t>点位名称</w:t>
            </w:r>
          </w:p>
        </w:tc>
        <w:tc>
          <w:tcPr>
            <w:tcW w:w="1167" w:type="dxa"/>
            <w:noWrap w:val="0"/>
            <w:vAlign w:val="top"/>
          </w:tcPr>
          <w:p w14:paraId="203A1C79">
            <w:pPr>
              <w:pStyle w:val="461"/>
              <w:widowControl/>
              <w:spacing w:before="44" w:line="197" w:lineRule="auto"/>
              <w:ind w:left="167"/>
            </w:pPr>
            <w:r>
              <w:rPr>
                <w:b/>
                <w:bCs/>
                <w:spacing w:val="6"/>
              </w:rPr>
              <w:t>建设内容</w:t>
            </w:r>
          </w:p>
        </w:tc>
        <w:tc>
          <w:tcPr>
            <w:tcW w:w="2617" w:type="dxa"/>
            <w:noWrap w:val="0"/>
            <w:vAlign w:val="top"/>
          </w:tcPr>
          <w:p w14:paraId="7B1DC2FE">
            <w:pPr>
              <w:pStyle w:val="461"/>
              <w:widowControl/>
              <w:spacing w:before="36" w:line="185" w:lineRule="auto"/>
              <w:ind w:left="879"/>
              <w:rPr>
                <w:sz w:val="22"/>
                <w:szCs w:val="22"/>
              </w:rPr>
            </w:pPr>
            <w:r>
              <w:rPr>
                <w:b/>
                <w:bCs/>
                <w:spacing w:val="-5"/>
                <w:sz w:val="22"/>
                <w:szCs w:val="22"/>
              </w:rPr>
              <w:t>监测指标</w:t>
            </w:r>
          </w:p>
        </w:tc>
        <w:tc>
          <w:tcPr>
            <w:tcW w:w="1090" w:type="dxa"/>
            <w:noWrap w:val="0"/>
            <w:vAlign w:val="top"/>
          </w:tcPr>
          <w:p w14:paraId="3EA079D9">
            <w:pPr>
              <w:pStyle w:val="461"/>
              <w:widowControl/>
              <w:spacing w:before="44" w:line="197" w:lineRule="auto"/>
              <w:ind w:left="183"/>
            </w:pPr>
            <w:r>
              <w:rPr>
                <w:b/>
                <w:bCs/>
              </w:rPr>
              <w:t>经度(°)</w:t>
            </w:r>
          </w:p>
        </w:tc>
        <w:tc>
          <w:tcPr>
            <w:tcW w:w="989" w:type="dxa"/>
            <w:noWrap w:val="0"/>
            <w:vAlign w:val="top"/>
          </w:tcPr>
          <w:p w14:paraId="41D90CCC">
            <w:pPr>
              <w:pStyle w:val="461"/>
              <w:widowControl/>
              <w:spacing w:before="44" w:line="197" w:lineRule="auto"/>
              <w:ind w:left="134"/>
            </w:pPr>
            <w:r>
              <w:rPr>
                <w:b/>
                <w:bCs/>
                <w:spacing w:val="-1"/>
              </w:rPr>
              <w:t>纬度(°)</w:t>
            </w:r>
          </w:p>
        </w:tc>
      </w:tr>
      <w:tr w14:paraId="76611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8" w:type="dxa"/>
            <w:noWrap w:val="0"/>
            <w:vAlign w:val="top"/>
          </w:tcPr>
          <w:p w14:paraId="5777DC82">
            <w:pPr>
              <w:pStyle w:val="461"/>
              <w:widowControl/>
              <w:spacing w:before="202" w:line="185" w:lineRule="auto"/>
              <w:ind w:left="301"/>
            </w:pPr>
            <w:r>
              <w:t>1</w:t>
            </w:r>
          </w:p>
        </w:tc>
        <w:tc>
          <w:tcPr>
            <w:tcW w:w="1250" w:type="dxa"/>
            <w:noWrap w:val="0"/>
            <w:vAlign w:val="top"/>
          </w:tcPr>
          <w:p w14:paraId="4275DE5D">
            <w:pPr>
              <w:pStyle w:val="461"/>
              <w:widowControl/>
              <w:spacing w:before="168" w:line="203" w:lineRule="auto"/>
              <w:ind w:left="171"/>
            </w:pPr>
            <w:r>
              <w:rPr>
                <w:spacing w:val="5"/>
              </w:rPr>
              <w:t>新深陡沟</w:t>
            </w:r>
          </w:p>
        </w:tc>
        <w:tc>
          <w:tcPr>
            <w:tcW w:w="1379" w:type="dxa"/>
            <w:noWrap w:val="0"/>
            <w:vAlign w:val="top"/>
          </w:tcPr>
          <w:p w14:paraId="08369116">
            <w:pPr>
              <w:pStyle w:val="461"/>
              <w:widowControl/>
              <w:spacing w:before="32" w:line="208" w:lineRule="auto"/>
              <w:ind w:left="480" w:right="158" w:hanging="312"/>
            </w:pPr>
            <w:r>
              <w:rPr>
                <w:spacing w:val="7"/>
              </w:rPr>
              <w:t>监测区域进</w:t>
            </w:r>
            <w:r>
              <w:t xml:space="preserve"> </w:t>
            </w:r>
            <w:r>
              <w:rPr>
                <w:spacing w:val="23"/>
              </w:rPr>
              <w:t>水口</w:t>
            </w:r>
          </w:p>
        </w:tc>
        <w:tc>
          <w:tcPr>
            <w:tcW w:w="1167" w:type="dxa"/>
            <w:vMerge w:val="restart"/>
            <w:tcBorders>
              <w:bottom w:val="nil"/>
            </w:tcBorders>
            <w:noWrap w:val="0"/>
            <w:vAlign w:val="top"/>
          </w:tcPr>
          <w:p w14:paraId="3C9F79D4">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574A16F4">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2E24E035">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333EA33B">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2BB7DDAE">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6A48C78A">
            <w:pPr>
              <w:pStyle w:val="461"/>
              <w:widowControl/>
              <w:spacing w:before="73" w:line="223" w:lineRule="auto"/>
              <w:ind w:left="483" w:right="163" w:hanging="266"/>
            </w:pPr>
            <w:r>
              <w:rPr>
                <w:spacing w:val="-5"/>
              </w:rPr>
              <w:t>自动采样</w:t>
            </w:r>
            <w:r>
              <w:t xml:space="preserve"> 器</w:t>
            </w:r>
          </w:p>
        </w:tc>
        <w:tc>
          <w:tcPr>
            <w:tcW w:w="2617" w:type="dxa"/>
            <w:vMerge w:val="restart"/>
            <w:tcBorders>
              <w:bottom w:val="nil"/>
            </w:tcBorders>
            <w:noWrap w:val="0"/>
            <w:vAlign w:val="top"/>
          </w:tcPr>
          <w:p w14:paraId="44012C47">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687CD055">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40E86C2">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11BC8F96">
            <w:pPr>
              <w:widowControl/>
              <w:kinsoku w:val="0"/>
              <w:autoSpaceDE w:val="0"/>
              <w:autoSpaceDN w:val="0"/>
              <w:adjustRightInd w:val="0"/>
              <w:snapToGrid w:val="0"/>
              <w:spacing w:line="267" w:lineRule="auto"/>
              <w:jc w:val="left"/>
              <w:textAlignment w:val="baseline"/>
              <w:rPr>
                <w:rFonts w:ascii="Arial" w:hAnsi="Arial" w:eastAsia="Arial" w:cs="Arial"/>
                <w:snapToGrid w:val="0"/>
                <w:color w:val="000000"/>
                <w:kern w:val="0"/>
                <w:sz w:val="21"/>
                <w:szCs w:val="21"/>
                <w:lang w:eastAsia="en-US"/>
              </w:rPr>
            </w:pPr>
          </w:p>
          <w:p w14:paraId="7D7DC937">
            <w:pPr>
              <w:widowControl/>
              <w:kinsoku w:val="0"/>
              <w:autoSpaceDE w:val="0"/>
              <w:autoSpaceDN w:val="0"/>
              <w:adjustRightInd w:val="0"/>
              <w:snapToGrid w:val="0"/>
              <w:spacing w:line="268" w:lineRule="auto"/>
              <w:jc w:val="left"/>
              <w:textAlignment w:val="baseline"/>
              <w:rPr>
                <w:rFonts w:ascii="Arial" w:hAnsi="Arial" w:eastAsia="Arial" w:cs="Arial"/>
                <w:snapToGrid w:val="0"/>
                <w:color w:val="000000"/>
                <w:kern w:val="0"/>
                <w:sz w:val="21"/>
                <w:szCs w:val="21"/>
                <w:lang w:eastAsia="en-US"/>
              </w:rPr>
            </w:pPr>
          </w:p>
          <w:p w14:paraId="7ED007CE">
            <w:pPr>
              <w:pStyle w:val="461"/>
              <w:widowControl/>
              <w:spacing w:before="73" w:line="223" w:lineRule="auto"/>
              <w:ind w:left="1209" w:right="129" w:hanging="1066"/>
            </w:pPr>
            <w:r>
              <w:rPr>
                <w:spacing w:val="8"/>
              </w:rPr>
              <w:t>流量、水位、</w:t>
            </w:r>
            <w:r>
              <w:rPr>
                <w:spacing w:val="-40"/>
              </w:rPr>
              <w:t xml:space="preserve"> </w:t>
            </w:r>
            <w:r>
              <w:rPr>
                <w:spacing w:val="8"/>
              </w:rPr>
              <w:t>降水量、</w:t>
            </w:r>
            <w:r>
              <w:t>pH 值</w:t>
            </w:r>
          </w:p>
        </w:tc>
        <w:tc>
          <w:tcPr>
            <w:tcW w:w="1090" w:type="dxa"/>
            <w:noWrap w:val="0"/>
            <w:vAlign w:val="top"/>
          </w:tcPr>
          <w:p w14:paraId="0E7ECDE3">
            <w:pPr>
              <w:pStyle w:val="461"/>
              <w:widowControl/>
              <w:spacing w:before="201" w:line="186" w:lineRule="auto"/>
              <w:ind w:left="176"/>
            </w:pPr>
            <w:r>
              <w:rPr>
                <w:spacing w:val="-9"/>
              </w:rPr>
              <w:t>118.8904</w:t>
            </w:r>
          </w:p>
        </w:tc>
        <w:tc>
          <w:tcPr>
            <w:tcW w:w="989" w:type="dxa"/>
            <w:noWrap w:val="0"/>
            <w:vAlign w:val="top"/>
          </w:tcPr>
          <w:p w14:paraId="1B873B09">
            <w:pPr>
              <w:pStyle w:val="461"/>
              <w:widowControl/>
              <w:spacing w:before="199" w:line="186" w:lineRule="auto"/>
              <w:ind w:left="162"/>
            </w:pPr>
            <w:r>
              <w:rPr>
                <w:spacing w:val="-5"/>
              </w:rPr>
              <w:t>34.1677</w:t>
            </w:r>
          </w:p>
        </w:tc>
      </w:tr>
      <w:tr w14:paraId="03B90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8" w:type="dxa"/>
            <w:noWrap w:val="0"/>
            <w:vAlign w:val="top"/>
          </w:tcPr>
          <w:p w14:paraId="121A7E5A">
            <w:pPr>
              <w:pStyle w:val="461"/>
              <w:widowControl/>
              <w:spacing w:before="202" w:line="185" w:lineRule="auto"/>
              <w:ind w:left="284"/>
            </w:pPr>
            <w:r>
              <w:t>2</w:t>
            </w:r>
          </w:p>
        </w:tc>
        <w:tc>
          <w:tcPr>
            <w:tcW w:w="1250" w:type="dxa"/>
            <w:noWrap w:val="0"/>
            <w:vAlign w:val="top"/>
          </w:tcPr>
          <w:p w14:paraId="362E0522">
            <w:pPr>
              <w:pStyle w:val="461"/>
              <w:widowControl/>
              <w:spacing w:before="168" w:line="220" w:lineRule="auto"/>
              <w:ind w:left="290"/>
            </w:pPr>
            <w:r>
              <w:t>官沟河</w:t>
            </w:r>
          </w:p>
        </w:tc>
        <w:tc>
          <w:tcPr>
            <w:tcW w:w="1379" w:type="dxa"/>
            <w:noWrap w:val="0"/>
            <w:vAlign w:val="top"/>
          </w:tcPr>
          <w:p w14:paraId="03450D5C">
            <w:pPr>
              <w:pStyle w:val="461"/>
              <w:widowControl/>
              <w:spacing w:before="34" w:line="207" w:lineRule="auto"/>
              <w:ind w:left="599" w:right="158" w:hanging="415"/>
            </w:pPr>
            <w:r>
              <w:rPr>
                <w:spacing w:val="4"/>
              </w:rPr>
              <w:t>官沟河进水</w:t>
            </w:r>
            <w:r>
              <w:t xml:space="preserve"> 点</w:t>
            </w:r>
          </w:p>
        </w:tc>
        <w:tc>
          <w:tcPr>
            <w:tcW w:w="1167" w:type="dxa"/>
            <w:vMerge w:val="continue"/>
            <w:tcBorders>
              <w:top w:val="nil"/>
              <w:bottom w:val="nil"/>
            </w:tcBorders>
            <w:noWrap w:val="0"/>
            <w:vAlign w:val="top"/>
          </w:tcPr>
          <w:p w14:paraId="185BF52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7" w:type="dxa"/>
            <w:vMerge w:val="continue"/>
            <w:tcBorders>
              <w:top w:val="nil"/>
              <w:bottom w:val="nil"/>
            </w:tcBorders>
            <w:noWrap w:val="0"/>
            <w:vAlign w:val="top"/>
          </w:tcPr>
          <w:p w14:paraId="380B923F">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90" w:type="dxa"/>
            <w:noWrap w:val="0"/>
            <w:vAlign w:val="top"/>
          </w:tcPr>
          <w:p w14:paraId="4D4E8A56">
            <w:pPr>
              <w:pStyle w:val="461"/>
              <w:widowControl/>
              <w:spacing w:before="199" w:line="188" w:lineRule="auto"/>
              <w:ind w:left="176"/>
            </w:pPr>
            <w:r>
              <w:rPr>
                <w:spacing w:val="-7"/>
              </w:rPr>
              <w:t>118.9355</w:t>
            </w:r>
          </w:p>
        </w:tc>
        <w:tc>
          <w:tcPr>
            <w:tcW w:w="989" w:type="dxa"/>
            <w:noWrap w:val="0"/>
            <w:vAlign w:val="top"/>
          </w:tcPr>
          <w:p w14:paraId="1B4E9C74">
            <w:pPr>
              <w:pStyle w:val="461"/>
              <w:widowControl/>
              <w:spacing w:before="200" w:line="186" w:lineRule="auto"/>
              <w:ind w:left="162"/>
            </w:pPr>
            <w:r>
              <w:rPr>
                <w:spacing w:val="-5"/>
              </w:rPr>
              <w:t>34.1736</w:t>
            </w:r>
          </w:p>
        </w:tc>
      </w:tr>
      <w:tr w14:paraId="435BA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8" w:type="dxa"/>
            <w:noWrap w:val="0"/>
            <w:vAlign w:val="top"/>
          </w:tcPr>
          <w:p w14:paraId="4BAC4156">
            <w:pPr>
              <w:pStyle w:val="461"/>
              <w:widowControl/>
              <w:spacing w:before="202" w:line="185" w:lineRule="auto"/>
              <w:ind w:left="287"/>
            </w:pPr>
            <w:r>
              <w:t>3</w:t>
            </w:r>
          </w:p>
        </w:tc>
        <w:tc>
          <w:tcPr>
            <w:tcW w:w="1250" w:type="dxa"/>
            <w:noWrap w:val="0"/>
            <w:vAlign w:val="top"/>
          </w:tcPr>
          <w:p w14:paraId="2BAF519F">
            <w:pPr>
              <w:pStyle w:val="461"/>
              <w:widowControl/>
              <w:spacing w:before="168" w:line="203" w:lineRule="auto"/>
              <w:ind w:left="161"/>
            </w:pPr>
            <w:r>
              <w:rPr>
                <w:spacing w:val="8"/>
              </w:rPr>
              <w:t>老深陡沟</w:t>
            </w:r>
          </w:p>
        </w:tc>
        <w:tc>
          <w:tcPr>
            <w:tcW w:w="1379" w:type="dxa"/>
            <w:noWrap w:val="0"/>
            <w:vAlign w:val="top"/>
          </w:tcPr>
          <w:p w14:paraId="428A7E49">
            <w:pPr>
              <w:pStyle w:val="461"/>
              <w:widowControl/>
              <w:spacing w:before="34" w:line="207" w:lineRule="auto"/>
              <w:ind w:left="271" w:right="158" w:hanging="110"/>
            </w:pPr>
            <w:r>
              <w:rPr>
                <w:spacing w:val="8"/>
              </w:rPr>
              <w:t>老深陡沟入</w:t>
            </w:r>
            <w:r>
              <w:rPr>
                <w:spacing w:val="2"/>
              </w:rPr>
              <w:t xml:space="preserve"> </w:t>
            </w:r>
            <w:r>
              <w:rPr>
                <w:spacing w:val="6"/>
              </w:rPr>
              <w:t>监测区点</w:t>
            </w:r>
          </w:p>
        </w:tc>
        <w:tc>
          <w:tcPr>
            <w:tcW w:w="1167" w:type="dxa"/>
            <w:vMerge w:val="continue"/>
            <w:tcBorders>
              <w:top w:val="nil"/>
              <w:bottom w:val="nil"/>
            </w:tcBorders>
            <w:noWrap w:val="0"/>
            <w:vAlign w:val="top"/>
          </w:tcPr>
          <w:p w14:paraId="1F9447D9">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7" w:type="dxa"/>
            <w:vMerge w:val="continue"/>
            <w:tcBorders>
              <w:top w:val="nil"/>
              <w:bottom w:val="nil"/>
            </w:tcBorders>
            <w:noWrap w:val="0"/>
            <w:vAlign w:val="top"/>
          </w:tcPr>
          <w:p w14:paraId="1D4A75A2">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90" w:type="dxa"/>
            <w:noWrap w:val="0"/>
            <w:vAlign w:val="top"/>
          </w:tcPr>
          <w:p w14:paraId="544DCB78">
            <w:pPr>
              <w:pStyle w:val="461"/>
              <w:widowControl/>
              <w:spacing w:before="202" w:line="186" w:lineRule="auto"/>
              <w:ind w:left="176"/>
            </w:pPr>
            <w:r>
              <w:rPr>
                <w:spacing w:val="-9"/>
              </w:rPr>
              <w:t>118.8897</w:t>
            </w:r>
          </w:p>
        </w:tc>
        <w:tc>
          <w:tcPr>
            <w:tcW w:w="989" w:type="dxa"/>
            <w:noWrap w:val="0"/>
            <w:vAlign w:val="top"/>
          </w:tcPr>
          <w:p w14:paraId="5F2A4159">
            <w:pPr>
              <w:pStyle w:val="461"/>
              <w:widowControl/>
              <w:spacing w:before="200" w:line="186" w:lineRule="auto"/>
              <w:ind w:left="162"/>
            </w:pPr>
            <w:r>
              <w:rPr>
                <w:spacing w:val="-2"/>
              </w:rPr>
              <w:t>34.2641</w:t>
            </w:r>
          </w:p>
        </w:tc>
      </w:tr>
      <w:tr w14:paraId="6FA3D3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8" w:type="dxa"/>
            <w:noWrap w:val="0"/>
            <w:vAlign w:val="top"/>
          </w:tcPr>
          <w:p w14:paraId="1C9F8C3C">
            <w:pPr>
              <w:pStyle w:val="461"/>
              <w:widowControl/>
              <w:spacing w:before="205" w:line="185" w:lineRule="auto"/>
              <w:ind w:left="280"/>
            </w:pPr>
            <w:r>
              <w:t>4</w:t>
            </w:r>
          </w:p>
        </w:tc>
        <w:tc>
          <w:tcPr>
            <w:tcW w:w="1250" w:type="dxa"/>
            <w:noWrap w:val="0"/>
            <w:vAlign w:val="top"/>
          </w:tcPr>
          <w:p w14:paraId="64539D0C">
            <w:pPr>
              <w:pStyle w:val="461"/>
              <w:widowControl/>
              <w:spacing w:before="34" w:line="207" w:lineRule="auto"/>
              <w:ind w:left="481" w:right="165" w:hanging="315"/>
            </w:pPr>
            <w:r>
              <w:rPr>
                <w:spacing w:val="6"/>
              </w:rPr>
              <w:t>左洪河支</w:t>
            </w:r>
            <w:r>
              <w:rPr>
                <w:spacing w:val="2"/>
              </w:rPr>
              <w:t xml:space="preserve"> </w:t>
            </w:r>
            <w:r>
              <w:t>渠</w:t>
            </w:r>
          </w:p>
        </w:tc>
        <w:tc>
          <w:tcPr>
            <w:tcW w:w="1379" w:type="dxa"/>
            <w:noWrap w:val="0"/>
            <w:vAlign w:val="top"/>
          </w:tcPr>
          <w:p w14:paraId="360C8F48">
            <w:pPr>
              <w:pStyle w:val="461"/>
              <w:widowControl/>
              <w:spacing w:before="34" w:line="207" w:lineRule="auto"/>
              <w:ind w:left="371" w:right="158" w:hanging="205"/>
            </w:pPr>
            <w:r>
              <w:rPr>
                <w:spacing w:val="7"/>
              </w:rPr>
              <w:t>左洪河支渠</w:t>
            </w:r>
            <w:r>
              <w:rPr>
                <w:spacing w:val="2"/>
              </w:rPr>
              <w:t xml:space="preserve"> </w:t>
            </w:r>
            <w:r>
              <w:rPr>
                <w:spacing w:val="7"/>
              </w:rPr>
              <w:t>进水点</w:t>
            </w:r>
          </w:p>
        </w:tc>
        <w:tc>
          <w:tcPr>
            <w:tcW w:w="1167" w:type="dxa"/>
            <w:vMerge w:val="continue"/>
            <w:tcBorders>
              <w:top w:val="nil"/>
              <w:bottom w:val="nil"/>
            </w:tcBorders>
            <w:noWrap w:val="0"/>
            <w:vAlign w:val="top"/>
          </w:tcPr>
          <w:p w14:paraId="55AB21C1">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7" w:type="dxa"/>
            <w:vMerge w:val="continue"/>
            <w:tcBorders>
              <w:top w:val="nil"/>
              <w:bottom w:val="nil"/>
            </w:tcBorders>
            <w:noWrap w:val="0"/>
            <w:vAlign w:val="top"/>
          </w:tcPr>
          <w:p w14:paraId="3486267E">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90" w:type="dxa"/>
            <w:noWrap w:val="0"/>
            <w:vAlign w:val="top"/>
          </w:tcPr>
          <w:p w14:paraId="34EDACA1">
            <w:pPr>
              <w:pStyle w:val="461"/>
              <w:widowControl/>
              <w:spacing w:before="202" w:line="188" w:lineRule="auto"/>
              <w:ind w:left="176"/>
            </w:pPr>
            <w:r>
              <w:rPr>
                <w:spacing w:val="-8"/>
              </w:rPr>
              <w:t>118.9045</w:t>
            </w:r>
          </w:p>
        </w:tc>
        <w:tc>
          <w:tcPr>
            <w:tcW w:w="989" w:type="dxa"/>
            <w:noWrap w:val="0"/>
            <w:vAlign w:val="top"/>
          </w:tcPr>
          <w:p w14:paraId="5155FEAA">
            <w:pPr>
              <w:pStyle w:val="461"/>
              <w:widowControl/>
              <w:spacing w:before="206" w:line="184" w:lineRule="auto"/>
              <w:ind w:left="162"/>
            </w:pPr>
            <w:r>
              <w:rPr>
                <w:spacing w:val="-5"/>
              </w:rPr>
              <w:t>34.1708</w:t>
            </w:r>
          </w:p>
        </w:tc>
      </w:tr>
      <w:tr w14:paraId="17901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68" w:type="dxa"/>
            <w:noWrap w:val="0"/>
            <w:vAlign w:val="top"/>
          </w:tcPr>
          <w:p w14:paraId="03AFFC18">
            <w:pPr>
              <w:pStyle w:val="461"/>
              <w:widowControl/>
              <w:spacing w:before="203" w:line="187" w:lineRule="auto"/>
              <w:ind w:left="284"/>
            </w:pPr>
            <w:r>
              <w:t>5</w:t>
            </w:r>
          </w:p>
        </w:tc>
        <w:tc>
          <w:tcPr>
            <w:tcW w:w="1250" w:type="dxa"/>
            <w:noWrap w:val="0"/>
            <w:vAlign w:val="top"/>
          </w:tcPr>
          <w:p w14:paraId="55A2EABD">
            <w:pPr>
              <w:pStyle w:val="461"/>
              <w:widowControl/>
              <w:spacing w:before="172" w:line="221" w:lineRule="auto"/>
              <w:ind w:left="272"/>
            </w:pPr>
            <w:r>
              <w:rPr>
                <w:spacing w:val="6"/>
              </w:rPr>
              <w:t>左洪河</w:t>
            </w:r>
          </w:p>
        </w:tc>
        <w:tc>
          <w:tcPr>
            <w:tcW w:w="1379" w:type="dxa"/>
            <w:noWrap w:val="0"/>
            <w:vAlign w:val="top"/>
          </w:tcPr>
          <w:p w14:paraId="71BCFADB">
            <w:pPr>
              <w:pStyle w:val="461"/>
              <w:widowControl/>
              <w:spacing w:before="36" w:line="206" w:lineRule="auto"/>
              <w:ind w:left="599" w:right="158" w:hanging="433"/>
            </w:pPr>
            <w:r>
              <w:rPr>
                <w:spacing w:val="7"/>
              </w:rPr>
              <w:t>左洪河出水</w:t>
            </w:r>
            <w:r>
              <w:rPr>
                <w:spacing w:val="2"/>
              </w:rPr>
              <w:t xml:space="preserve"> </w:t>
            </w:r>
            <w:r>
              <w:t>点</w:t>
            </w:r>
          </w:p>
        </w:tc>
        <w:tc>
          <w:tcPr>
            <w:tcW w:w="1167" w:type="dxa"/>
            <w:vMerge w:val="continue"/>
            <w:tcBorders>
              <w:top w:val="nil"/>
              <w:bottom w:val="nil"/>
            </w:tcBorders>
            <w:noWrap w:val="0"/>
            <w:vAlign w:val="top"/>
          </w:tcPr>
          <w:p w14:paraId="39124D1C">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7" w:type="dxa"/>
            <w:vMerge w:val="continue"/>
            <w:tcBorders>
              <w:top w:val="nil"/>
              <w:bottom w:val="nil"/>
            </w:tcBorders>
            <w:noWrap w:val="0"/>
            <w:vAlign w:val="top"/>
          </w:tcPr>
          <w:p w14:paraId="65BA147B">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90" w:type="dxa"/>
            <w:noWrap w:val="0"/>
            <w:vAlign w:val="top"/>
          </w:tcPr>
          <w:p w14:paraId="3AC17D9B">
            <w:pPr>
              <w:pStyle w:val="461"/>
              <w:widowControl/>
              <w:spacing w:before="203" w:line="188" w:lineRule="auto"/>
              <w:ind w:left="176"/>
            </w:pPr>
            <w:r>
              <w:rPr>
                <w:spacing w:val="-15"/>
              </w:rPr>
              <w:t>118.9115</w:t>
            </w:r>
          </w:p>
        </w:tc>
        <w:tc>
          <w:tcPr>
            <w:tcW w:w="989" w:type="dxa"/>
            <w:noWrap w:val="0"/>
            <w:vAlign w:val="top"/>
          </w:tcPr>
          <w:p w14:paraId="2D6400C6">
            <w:pPr>
              <w:pStyle w:val="461"/>
              <w:widowControl/>
              <w:spacing w:before="203" w:line="186" w:lineRule="auto"/>
              <w:ind w:left="162"/>
            </w:pPr>
            <w:r>
              <w:t>34.2860</w:t>
            </w:r>
          </w:p>
        </w:tc>
      </w:tr>
      <w:tr w14:paraId="4D7D4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68" w:type="dxa"/>
            <w:noWrap w:val="0"/>
            <w:vAlign w:val="top"/>
          </w:tcPr>
          <w:p w14:paraId="50410706">
            <w:pPr>
              <w:pStyle w:val="461"/>
              <w:widowControl/>
              <w:spacing w:before="205" w:line="186" w:lineRule="auto"/>
              <w:ind w:left="284"/>
            </w:pPr>
            <w:r>
              <w:rPr>
                <w:spacing w:val="1"/>
              </w:rPr>
              <w:t>6</w:t>
            </w:r>
          </w:p>
        </w:tc>
        <w:tc>
          <w:tcPr>
            <w:tcW w:w="1250" w:type="dxa"/>
            <w:noWrap w:val="0"/>
            <w:vAlign w:val="top"/>
          </w:tcPr>
          <w:p w14:paraId="0CA71D10">
            <w:pPr>
              <w:pStyle w:val="461"/>
              <w:widowControl/>
              <w:spacing w:before="172" w:line="220" w:lineRule="auto"/>
              <w:ind w:left="290"/>
            </w:pPr>
            <w:r>
              <w:t>官沟河</w:t>
            </w:r>
          </w:p>
        </w:tc>
        <w:tc>
          <w:tcPr>
            <w:tcW w:w="1379" w:type="dxa"/>
            <w:noWrap w:val="0"/>
            <w:vAlign w:val="top"/>
          </w:tcPr>
          <w:p w14:paraId="1321E2BF">
            <w:pPr>
              <w:pStyle w:val="461"/>
              <w:widowControl/>
              <w:spacing w:before="35" w:line="207" w:lineRule="auto"/>
              <w:ind w:left="599" w:right="158" w:hanging="415"/>
            </w:pPr>
            <w:r>
              <w:rPr>
                <w:spacing w:val="4"/>
              </w:rPr>
              <w:t>官沟河出水</w:t>
            </w:r>
            <w:r>
              <w:t xml:space="preserve"> 点</w:t>
            </w:r>
          </w:p>
        </w:tc>
        <w:tc>
          <w:tcPr>
            <w:tcW w:w="1167" w:type="dxa"/>
            <w:vMerge w:val="continue"/>
            <w:tcBorders>
              <w:top w:val="nil"/>
            </w:tcBorders>
            <w:noWrap w:val="0"/>
            <w:vAlign w:val="top"/>
          </w:tcPr>
          <w:p w14:paraId="47097496">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2617" w:type="dxa"/>
            <w:vMerge w:val="continue"/>
            <w:tcBorders>
              <w:top w:val="nil"/>
            </w:tcBorders>
            <w:noWrap w:val="0"/>
            <w:vAlign w:val="top"/>
          </w:tcPr>
          <w:p w14:paraId="6C6459FA">
            <w:pPr>
              <w:widowControl/>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lang w:eastAsia="en-US"/>
              </w:rPr>
            </w:pPr>
          </w:p>
        </w:tc>
        <w:tc>
          <w:tcPr>
            <w:tcW w:w="1090" w:type="dxa"/>
            <w:noWrap w:val="0"/>
            <w:vAlign w:val="top"/>
          </w:tcPr>
          <w:p w14:paraId="7E1BF2BC">
            <w:pPr>
              <w:pStyle w:val="461"/>
              <w:widowControl/>
              <w:spacing w:before="206" w:line="186" w:lineRule="auto"/>
              <w:ind w:left="176"/>
            </w:pPr>
            <w:r>
              <w:rPr>
                <w:spacing w:val="-11"/>
              </w:rPr>
              <w:t>118.9448</w:t>
            </w:r>
          </w:p>
        </w:tc>
        <w:tc>
          <w:tcPr>
            <w:tcW w:w="989" w:type="dxa"/>
            <w:noWrap w:val="0"/>
            <w:vAlign w:val="top"/>
          </w:tcPr>
          <w:p w14:paraId="33D98E35">
            <w:pPr>
              <w:pStyle w:val="461"/>
              <w:widowControl/>
              <w:spacing w:before="206" w:line="186" w:lineRule="auto"/>
              <w:ind w:left="162"/>
            </w:pPr>
            <w:r>
              <w:rPr>
                <w:spacing w:val="-1"/>
              </w:rPr>
              <w:t>34.2897</w:t>
            </w:r>
          </w:p>
        </w:tc>
      </w:tr>
      <w:tr w14:paraId="3C5C3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2" w:hRule="atLeast"/>
        </w:trPr>
        <w:tc>
          <w:tcPr>
            <w:tcW w:w="568" w:type="dxa"/>
            <w:noWrap w:val="0"/>
            <w:vAlign w:val="top"/>
          </w:tcPr>
          <w:p w14:paraId="5E512EE2">
            <w:pPr>
              <w:widowControl/>
              <w:kinsoku w:val="0"/>
              <w:autoSpaceDE w:val="0"/>
              <w:autoSpaceDN w:val="0"/>
              <w:adjustRightInd w:val="0"/>
              <w:snapToGrid w:val="0"/>
              <w:spacing w:line="338" w:lineRule="auto"/>
              <w:jc w:val="left"/>
              <w:textAlignment w:val="baseline"/>
              <w:rPr>
                <w:rFonts w:ascii="Arial" w:hAnsi="Arial" w:eastAsia="Arial" w:cs="Arial"/>
                <w:snapToGrid w:val="0"/>
                <w:color w:val="000000"/>
                <w:kern w:val="0"/>
                <w:sz w:val="21"/>
                <w:szCs w:val="21"/>
                <w:lang w:eastAsia="en-US"/>
              </w:rPr>
            </w:pPr>
          </w:p>
          <w:p w14:paraId="4FE00278">
            <w:pPr>
              <w:widowControl/>
              <w:kinsoku w:val="0"/>
              <w:autoSpaceDE w:val="0"/>
              <w:autoSpaceDN w:val="0"/>
              <w:adjustRightInd w:val="0"/>
              <w:snapToGrid w:val="0"/>
              <w:spacing w:line="339" w:lineRule="auto"/>
              <w:jc w:val="left"/>
              <w:textAlignment w:val="baseline"/>
              <w:rPr>
                <w:rFonts w:ascii="Arial" w:hAnsi="Arial" w:eastAsia="Arial" w:cs="Arial"/>
                <w:snapToGrid w:val="0"/>
                <w:color w:val="000000"/>
                <w:kern w:val="0"/>
                <w:sz w:val="21"/>
                <w:szCs w:val="21"/>
                <w:lang w:eastAsia="en-US"/>
              </w:rPr>
            </w:pPr>
          </w:p>
          <w:p w14:paraId="3FF12353">
            <w:pPr>
              <w:pStyle w:val="461"/>
              <w:widowControl/>
              <w:spacing w:before="73" w:line="182" w:lineRule="auto"/>
              <w:ind w:left="282"/>
            </w:pPr>
            <w:r>
              <w:t>7</w:t>
            </w:r>
          </w:p>
        </w:tc>
        <w:tc>
          <w:tcPr>
            <w:tcW w:w="1250" w:type="dxa"/>
            <w:noWrap w:val="0"/>
            <w:vAlign w:val="top"/>
          </w:tcPr>
          <w:p w14:paraId="24939D37">
            <w:pPr>
              <w:widowControl/>
              <w:kinsoku w:val="0"/>
              <w:autoSpaceDE w:val="0"/>
              <w:autoSpaceDN w:val="0"/>
              <w:adjustRightInd w:val="0"/>
              <w:snapToGrid w:val="0"/>
              <w:spacing w:line="319" w:lineRule="auto"/>
              <w:jc w:val="left"/>
              <w:textAlignment w:val="baseline"/>
              <w:rPr>
                <w:rFonts w:ascii="Arial" w:hAnsi="Arial" w:eastAsia="Arial" w:cs="Arial"/>
                <w:snapToGrid w:val="0"/>
                <w:color w:val="000000"/>
                <w:kern w:val="0"/>
                <w:sz w:val="21"/>
                <w:szCs w:val="21"/>
                <w:lang w:eastAsia="en-US"/>
              </w:rPr>
            </w:pPr>
          </w:p>
          <w:p w14:paraId="110ABD56">
            <w:pPr>
              <w:widowControl/>
              <w:kinsoku w:val="0"/>
              <w:autoSpaceDE w:val="0"/>
              <w:autoSpaceDN w:val="0"/>
              <w:adjustRightInd w:val="0"/>
              <w:snapToGrid w:val="0"/>
              <w:spacing w:line="320" w:lineRule="auto"/>
              <w:jc w:val="left"/>
              <w:textAlignment w:val="baseline"/>
              <w:rPr>
                <w:rFonts w:ascii="Arial" w:hAnsi="Arial" w:eastAsia="Arial" w:cs="Arial"/>
                <w:snapToGrid w:val="0"/>
                <w:color w:val="000000"/>
                <w:kern w:val="0"/>
                <w:sz w:val="21"/>
                <w:szCs w:val="21"/>
                <w:lang w:eastAsia="en-US"/>
              </w:rPr>
            </w:pPr>
          </w:p>
          <w:p w14:paraId="32F47E43">
            <w:pPr>
              <w:pStyle w:val="461"/>
              <w:widowControl/>
              <w:spacing w:before="73" w:line="203" w:lineRule="auto"/>
              <w:ind w:left="171"/>
            </w:pPr>
            <w:r>
              <w:rPr>
                <w:spacing w:val="5"/>
              </w:rPr>
              <w:t>新深陡沟</w:t>
            </w:r>
          </w:p>
        </w:tc>
        <w:tc>
          <w:tcPr>
            <w:tcW w:w="1379" w:type="dxa"/>
            <w:noWrap w:val="0"/>
            <w:vAlign w:val="top"/>
          </w:tcPr>
          <w:p w14:paraId="5703263E">
            <w:pPr>
              <w:widowControl/>
              <w:kinsoku w:val="0"/>
              <w:autoSpaceDE w:val="0"/>
              <w:autoSpaceDN w:val="0"/>
              <w:adjustRightInd w:val="0"/>
              <w:snapToGrid w:val="0"/>
              <w:spacing w:line="251" w:lineRule="auto"/>
              <w:jc w:val="left"/>
              <w:textAlignment w:val="baseline"/>
              <w:rPr>
                <w:rFonts w:ascii="Arial" w:hAnsi="Arial" w:eastAsia="Arial" w:cs="Arial"/>
                <w:snapToGrid w:val="0"/>
                <w:color w:val="000000"/>
                <w:kern w:val="0"/>
                <w:sz w:val="21"/>
                <w:szCs w:val="21"/>
                <w:lang w:eastAsia="en-US"/>
              </w:rPr>
            </w:pPr>
          </w:p>
          <w:p w14:paraId="4E6337F9">
            <w:pPr>
              <w:widowControl/>
              <w:kinsoku w:val="0"/>
              <w:autoSpaceDE w:val="0"/>
              <w:autoSpaceDN w:val="0"/>
              <w:adjustRightInd w:val="0"/>
              <w:snapToGrid w:val="0"/>
              <w:spacing w:line="252" w:lineRule="auto"/>
              <w:jc w:val="left"/>
              <w:textAlignment w:val="baseline"/>
              <w:rPr>
                <w:rFonts w:ascii="Arial" w:hAnsi="Arial" w:eastAsia="Arial" w:cs="Arial"/>
                <w:snapToGrid w:val="0"/>
                <w:color w:val="000000"/>
                <w:kern w:val="0"/>
                <w:sz w:val="21"/>
                <w:szCs w:val="21"/>
                <w:lang w:eastAsia="en-US"/>
              </w:rPr>
            </w:pPr>
          </w:p>
          <w:p w14:paraId="10EB635F">
            <w:pPr>
              <w:pStyle w:val="461"/>
              <w:widowControl/>
              <w:spacing w:before="74" w:line="222" w:lineRule="auto"/>
              <w:ind w:left="481" w:right="158" w:hanging="310"/>
            </w:pPr>
            <w:r>
              <w:rPr>
                <w:spacing w:val="6"/>
              </w:rPr>
              <w:t>新深陡沟出</w:t>
            </w:r>
            <w:r>
              <w:rPr>
                <w:spacing w:val="2"/>
              </w:rPr>
              <w:t xml:space="preserve"> </w:t>
            </w:r>
            <w:r>
              <w:rPr>
                <w:spacing w:val="3"/>
              </w:rPr>
              <w:t>水点</w:t>
            </w:r>
          </w:p>
        </w:tc>
        <w:tc>
          <w:tcPr>
            <w:tcW w:w="1167" w:type="dxa"/>
            <w:noWrap w:val="0"/>
            <w:vAlign w:val="top"/>
          </w:tcPr>
          <w:p w14:paraId="702989CF">
            <w:pPr>
              <w:pStyle w:val="461"/>
              <w:widowControl/>
              <w:spacing w:before="308" w:line="215" w:lineRule="auto"/>
              <w:ind w:left="172"/>
            </w:pPr>
            <w:r>
              <w:rPr>
                <w:spacing w:val="6"/>
              </w:rPr>
              <w:t>水质自动</w:t>
            </w:r>
          </w:p>
          <w:p w14:paraId="3A84AC2C">
            <w:pPr>
              <w:pStyle w:val="461"/>
              <w:widowControl/>
              <w:spacing w:before="8" w:line="221" w:lineRule="auto"/>
              <w:ind w:left="118"/>
            </w:pPr>
            <w:r>
              <w:rPr>
                <w:spacing w:val="-13"/>
              </w:rPr>
              <w:t>监测站（包</w:t>
            </w:r>
          </w:p>
          <w:p w14:paraId="02D6885F">
            <w:pPr>
              <w:pStyle w:val="461"/>
              <w:widowControl/>
              <w:spacing w:before="4" w:line="215" w:lineRule="auto"/>
              <w:ind w:left="168"/>
            </w:pPr>
            <w:r>
              <w:rPr>
                <w:spacing w:val="7"/>
              </w:rPr>
              <w:t>含自动采</w:t>
            </w:r>
          </w:p>
          <w:p w14:paraId="204E6E48">
            <w:pPr>
              <w:pStyle w:val="461"/>
              <w:widowControl/>
              <w:spacing w:before="8" w:line="219" w:lineRule="auto"/>
              <w:ind w:left="274"/>
            </w:pPr>
            <w:r>
              <w:rPr>
                <w:spacing w:val="8"/>
              </w:rPr>
              <w:t>样器）</w:t>
            </w:r>
          </w:p>
        </w:tc>
        <w:tc>
          <w:tcPr>
            <w:tcW w:w="2617" w:type="dxa"/>
            <w:noWrap w:val="0"/>
            <w:vAlign w:val="top"/>
          </w:tcPr>
          <w:p w14:paraId="314B8A71">
            <w:pPr>
              <w:pStyle w:val="461"/>
              <w:widowControl/>
              <w:spacing w:before="34" w:line="223" w:lineRule="auto"/>
              <w:ind w:left="115" w:right="35" w:firstLine="24"/>
            </w:pPr>
            <w:r>
              <w:rPr>
                <w:spacing w:val="8"/>
              </w:rPr>
              <w:t>水质五参数（</w:t>
            </w:r>
            <w:r>
              <w:t>pH</w:t>
            </w:r>
            <w:r>
              <w:rPr>
                <w:spacing w:val="8"/>
              </w:rPr>
              <w:t>值、</w:t>
            </w:r>
            <w:r>
              <w:rPr>
                <w:spacing w:val="-35"/>
              </w:rPr>
              <w:t xml:space="preserve"> </w:t>
            </w:r>
            <w:r>
              <w:rPr>
                <w:spacing w:val="8"/>
              </w:rPr>
              <w:t>电导</w:t>
            </w:r>
            <w:r>
              <w:t xml:space="preserve">  </w:t>
            </w:r>
            <w:r>
              <w:rPr>
                <w:spacing w:val="-11"/>
              </w:rPr>
              <w:t>率、溶解氧、浊度、温度）、</w:t>
            </w:r>
            <w:r>
              <w:rPr>
                <w:spacing w:val="3"/>
              </w:rPr>
              <w:t xml:space="preserve"> </w:t>
            </w:r>
            <w:r>
              <w:rPr>
                <w:spacing w:val="13"/>
              </w:rPr>
              <w:t>化学需氧量、高锰酸盐指</w:t>
            </w:r>
            <w:r>
              <w:rPr>
                <w:spacing w:val="1"/>
              </w:rPr>
              <w:t xml:space="preserve">  </w:t>
            </w:r>
            <w:r>
              <w:rPr>
                <w:spacing w:val="6"/>
              </w:rPr>
              <w:t>数、</w:t>
            </w:r>
            <w:r>
              <w:rPr>
                <w:spacing w:val="-39"/>
              </w:rPr>
              <w:t xml:space="preserve"> </w:t>
            </w:r>
            <w:r>
              <w:rPr>
                <w:spacing w:val="6"/>
              </w:rPr>
              <w:t>总氮、氨氮、</w:t>
            </w:r>
            <w:r>
              <w:rPr>
                <w:spacing w:val="-47"/>
              </w:rPr>
              <w:t xml:space="preserve"> </w:t>
            </w:r>
            <w:r>
              <w:rPr>
                <w:spacing w:val="6"/>
              </w:rPr>
              <w:t>总磷、</w:t>
            </w:r>
            <w:r>
              <w:t xml:space="preserve">  </w:t>
            </w:r>
            <w:r>
              <w:rPr>
                <w:spacing w:val="5"/>
              </w:rPr>
              <w:t>磷酸盐、硝酸盐氮、流量、</w:t>
            </w:r>
            <w:r>
              <w:t>水位、</w:t>
            </w:r>
            <w:r>
              <w:rPr>
                <w:spacing w:val="-44"/>
              </w:rPr>
              <w:t xml:space="preserve"> </w:t>
            </w:r>
            <w:r>
              <w:t>降水量</w:t>
            </w:r>
          </w:p>
        </w:tc>
        <w:tc>
          <w:tcPr>
            <w:tcW w:w="1090" w:type="dxa"/>
            <w:noWrap w:val="0"/>
            <w:vAlign w:val="top"/>
          </w:tcPr>
          <w:p w14:paraId="2577F7B2">
            <w:pPr>
              <w:widowControl/>
              <w:kinsoku w:val="0"/>
              <w:autoSpaceDE w:val="0"/>
              <w:autoSpaceDN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3A79DD66">
            <w:pPr>
              <w:widowControl/>
              <w:kinsoku w:val="0"/>
              <w:autoSpaceDE w:val="0"/>
              <w:autoSpaceDN w:val="0"/>
              <w:adjustRightInd w:val="0"/>
              <w:snapToGrid w:val="0"/>
              <w:spacing w:line="336" w:lineRule="auto"/>
              <w:jc w:val="left"/>
              <w:textAlignment w:val="baseline"/>
              <w:rPr>
                <w:rFonts w:ascii="Arial" w:hAnsi="Arial" w:eastAsia="Arial" w:cs="Arial"/>
                <w:snapToGrid w:val="0"/>
                <w:color w:val="000000"/>
                <w:kern w:val="0"/>
                <w:sz w:val="21"/>
                <w:szCs w:val="21"/>
                <w:lang w:eastAsia="en-US"/>
              </w:rPr>
            </w:pPr>
          </w:p>
          <w:p w14:paraId="6DBD5983">
            <w:pPr>
              <w:pStyle w:val="461"/>
              <w:widowControl/>
              <w:spacing w:before="73" w:line="187" w:lineRule="auto"/>
              <w:ind w:left="176"/>
            </w:pPr>
            <w:r>
              <w:rPr>
                <w:spacing w:val="-9"/>
              </w:rPr>
              <w:t>118.8896</w:t>
            </w:r>
          </w:p>
        </w:tc>
        <w:tc>
          <w:tcPr>
            <w:tcW w:w="989" w:type="dxa"/>
            <w:noWrap w:val="0"/>
            <w:vAlign w:val="top"/>
          </w:tcPr>
          <w:p w14:paraId="383E88A3">
            <w:pPr>
              <w:widowControl/>
              <w:kinsoku w:val="0"/>
              <w:autoSpaceDE w:val="0"/>
              <w:autoSpaceDN w:val="0"/>
              <w:adjustRightInd w:val="0"/>
              <w:snapToGrid w:val="0"/>
              <w:spacing w:line="335" w:lineRule="auto"/>
              <w:jc w:val="left"/>
              <w:textAlignment w:val="baseline"/>
              <w:rPr>
                <w:rFonts w:ascii="Arial" w:hAnsi="Arial" w:eastAsia="Arial" w:cs="Arial"/>
                <w:snapToGrid w:val="0"/>
                <w:color w:val="000000"/>
                <w:kern w:val="0"/>
                <w:sz w:val="21"/>
                <w:szCs w:val="21"/>
                <w:lang w:eastAsia="en-US"/>
              </w:rPr>
            </w:pPr>
          </w:p>
          <w:p w14:paraId="7BAC0D64">
            <w:pPr>
              <w:widowControl/>
              <w:kinsoku w:val="0"/>
              <w:autoSpaceDE w:val="0"/>
              <w:autoSpaceDN w:val="0"/>
              <w:adjustRightInd w:val="0"/>
              <w:snapToGrid w:val="0"/>
              <w:spacing w:line="336" w:lineRule="auto"/>
              <w:jc w:val="left"/>
              <w:textAlignment w:val="baseline"/>
              <w:rPr>
                <w:rFonts w:ascii="Arial" w:hAnsi="Arial" w:eastAsia="Arial" w:cs="Arial"/>
                <w:snapToGrid w:val="0"/>
                <w:color w:val="000000"/>
                <w:kern w:val="0"/>
                <w:sz w:val="21"/>
                <w:szCs w:val="21"/>
                <w:lang w:eastAsia="en-US"/>
              </w:rPr>
            </w:pPr>
          </w:p>
          <w:p w14:paraId="40ABEEA9">
            <w:pPr>
              <w:pStyle w:val="461"/>
              <w:widowControl/>
              <w:spacing w:before="73" w:line="186" w:lineRule="auto"/>
              <w:ind w:left="162"/>
            </w:pPr>
            <w:r>
              <w:t>34.2856</w:t>
            </w:r>
          </w:p>
        </w:tc>
      </w:tr>
    </w:tbl>
    <w:p w14:paraId="293EB801">
      <w:pPr>
        <w:numPr>
          <w:ilvl w:val="0"/>
          <w:numId w:val="0"/>
        </w:numPr>
        <w:spacing w:line="400" w:lineRule="exact"/>
        <w:jc w:val="both"/>
        <w:outlineLvl w:val="9"/>
        <w:rPr>
          <w:ins w:id="1" w:author="易大林" w:date="2025-07-18T15:20:55Z"/>
          <w:rFonts w:hint="eastAsia" w:ascii="宋体" w:hAnsi="宋体" w:eastAsia="宋体" w:cs="宋体"/>
          <w:b/>
          <w:color w:val="000000"/>
          <w:sz w:val="24"/>
          <w:szCs w:val="24"/>
          <w:highlight w:val="none"/>
          <w:rtl w:val="0"/>
          <w:lang w:val="en-US" w:eastAsia="zh-CN"/>
        </w:rPr>
      </w:pPr>
    </w:p>
    <w:p w14:paraId="5ACE3D73">
      <w:pPr>
        <w:numPr>
          <w:ilvl w:val="0"/>
          <w:numId w:val="0"/>
        </w:numPr>
        <w:spacing w:line="400" w:lineRule="exact"/>
        <w:jc w:val="both"/>
        <w:outlineLvl w:val="9"/>
        <w:rPr>
          <w:rFonts w:ascii="方正仿宋_GBK" w:hAnsi="方正仿宋_GBK" w:eastAsia="方正仿宋_GBK" w:cs="方正仿宋_GBK"/>
          <w:snapToGrid w:val="0"/>
          <w:color w:val="000000"/>
          <w:kern w:val="0"/>
          <w:sz w:val="31"/>
          <w:szCs w:val="31"/>
          <w:lang w:eastAsia="en-US"/>
        </w:rPr>
      </w:pPr>
      <w:r>
        <w:rPr>
          <w:rFonts w:hint="eastAsia" w:ascii="宋体" w:hAnsi="宋体" w:cs="宋体"/>
          <w:b/>
          <w:color w:val="000000"/>
          <w:sz w:val="24"/>
          <w:szCs w:val="24"/>
          <w:highlight w:val="none"/>
          <w:rtl w:val="0"/>
          <w:lang w:val="en-US" w:eastAsia="zh-CN"/>
        </w:rPr>
        <w:t>二</w:t>
      </w:r>
      <w:r>
        <w:rPr>
          <w:rFonts w:hint="eastAsia" w:ascii="宋体" w:hAnsi="宋体" w:eastAsia="宋体" w:cs="宋体"/>
          <w:b/>
          <w:color w:val="000000"/>
          <w:sz w:val="24"/>
          <w:szCs w:val="24"/>
          <w:highlight w:val="none"/>
          <w:rtl w:val="0"/>
          <w:lang w:val="en-US" w:eastAsia="zh-CN"/>
        </w:rPr>
        <w:t>、设备清单及要求</w:t>
      </w:r>
    </w:p>
    <w:p w14:paraId="056726A7">
      <w:pPr>
        <w:keepNext w:val="0"/>
        <w:keepLines w:val="0"/>
        <w:pageBreakBefore w:val="0"/>
        <w:widowControl w:val="0"/>
        <w:spacing w:before="0" w:after="0" w:line="440" w:lineRule="exact"/>
        <w:ind w:left="0" w:right="0" w:firstLine="480"/>
        <w:jc w:val="left"/>
        <w:rPr>
          <w:rFonts w:hint="default"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（一）</w:t>
      </w:r>
      <w:r>
        <w:rPr>
          <w:rFonts w:hint="eastAsia" w:ascii="宋体" w:hAnsi="宋体" w:eastAsia="宋体" w:cs="宋体"/>
          <w:b w:val="0"/>
          <w:bCs/>
          <w:color w:val="000000"/>
          <w:spacing w:val="0"/>
          <w:sz w:val="24"/>
          <w:szCs w:val="24"/>
          <w:highlight w:val="none"/>
          <w:lang w:val="en-US" w:eastAsia="en-US" w:bidi="ar-SA"/>
        </w:rPr>
        <w:t>在宿迁市沂北监测区7个地表水点位新建6个地表水 自动采样器和1个水质自动监测站（包含自动采样器）</w:t>
      </w:r>
      <w:r>
        <w:rPr>
          <w:rFonts w:hint="eastAsia" w:ascii="宋体" w:hAnsi="宋体" w:eastAsia="宋体" w:cs="宋体"/>
          <w:b w:val="0"/>
          <w:bCs/>
          <w:color w:val="000000"/>
          <w:spacing w:val="0"/>
          <w:sz w:val="24"/>
          <w:szCs w:val="24"/>
          <w:highlight w:val="none"/>
          <w:lang w:val="en-US" w:eastAsia="zh-CN" w:bidi="ar-SA"/>
        </w:rPr>
        <w:t>，本项目核心产品：</w:t>
      </w:r>
      <w:r>
        <w:rPr>
          <w:rFonts w:hint="eastAsia" w:ascii="宋体" w:hAnsi="宋体" w:eastAsia="宋体" w:cs="宋体"/>
          <w:i w:val="0"/>
          <w:iCs w:val="0"/>
          <w:color w:val="000000"/>
          <w:kern w:val="0"/>
          <w:sz w:val="24"/>
          <w:szCs w:val="24"/>
          <w:u w:val="none"/>
          <w:lang w:val="en-US" w:eastAsia="zh-CN" w:bidi="ar"/>
        </w:rPr>
        <w:t>总磷在线分析仪、总氮在线分析仪、氨氮在线分析仪、高锰酸盐在线分析仪、水质五参数在线分析仪。</w:t>
      </w:r>
    </w:p>
    <w:tbl>
      <w:tblPr>
        <w:tblStyle w:val="53"/>
        <w:tblW w:w="83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41"/>
        <w:gridCol w:w="1500"/>
        <w:gridCol w:w="3792"/>
        <w:gridCol w:w="917"/>
        <w:gridCol w:w="1060"/>
      </w:tblGrid>
      <w:tr w14:paraId="052FA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3C9A15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FCB8637">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项目类型</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49994EE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设备</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F360C5A">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4B2E1BEE">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单位</w:t>
            </w:r>
          </w:p>
        </w:tc>
      </w:tr>
      <w:tr w14:paraId="72110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E129BD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500" w:type="dxa"/>
            <w:vMerge w:val="restart"/>
            <w:tcBorders>
              <w:top w:val="single" w:color="000000" w:sz="4" w:space="0"/>
              <w:left w:val="single" w:color="000000" w:sz="4" w:space="0"/>
              <w:bottom w:val="single" w:color="000000" w:sz="4" w:space="0"/>
              <w:right w:val="single" w:color="000000" w:sz="4" w:space="0"/>
            </w:tcBorders>
            <w:noWrap w:val="0"/>
            <w:vAlign w:val="center"/>
          </w:tcPr>
          <w:p w14:paraId="5783CAB7">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自动监测站配备的监测设备</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05E2602">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总磷在线分析仪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43813C4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E1828C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04211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7444B0B2">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AC74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74F28D5">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总氮在线分析仪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18B6ADD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44DFB56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5F396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5D6771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A304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190D307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氨氮在线分析仪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ABA581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6554218A">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50F01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24B6B3B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BA78F8">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2D0A02A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高锰酸盐在线分析仪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28C03B8">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31587527">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A233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1E8C6C53">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AB10E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EA5E72E">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水质五参数在线分析仪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13F6E42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5303B9C8">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2D2AF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0218E9A">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B8F15A">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7309191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化学需氧量在线分析仪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208BB5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C41D33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03A95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4FAA5125">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68194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1D81EBC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磷酸盐在线分析仪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68F70A2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8A00115">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5F47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B46023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CB578">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DA2094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硝酸盐氮在线分析仪</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343A0C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1468F9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727E1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restart"/>
            <w:tcBorders>
              <w:top w:val="single" w:color="000000" w:sz="4" w:space="0"/>
              <w:left w:val="single" w:color="000000" w:sz="4" w:space="0"/>
              <w:bottom w:val="single" w:color="000000" w:sz="4" w:space="0"/>
              <w:right w:val="single" w:color="000000" w:sz="4" w:space="0"/>
            </w:tcBorders>
            <w:noWrap w:val="0"/>
            <w:vAlign w:val="center"/>
          </w:tcPr>
          <w:p w14:paraId="2A64F8B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500" w:type="dxa"/>
            <w:vMerge w:val="restart"/>
            <w:tcBorders>
              <w:top w:val="nil"/>
              <w:left w:val="single" w:color="000000" w:sz="4" w:space="0"/>
              <w:bottom w:val="single" w:color="000000" w:sz="4" w:space="0"/>
              <w:right w:val="single" w:color="000000" w:sz="4" w:space="0"/>
            </w:tcBorders>
            <w:noWrap w:val="0"/>
            <w:vAlign w:val="center"/>
          </w:tcPr>
          <w:p w14:paraId="51538FB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自动监测站配备的智能水样采样器</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71650D7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kern w:val="2"/>
                <w:sz w:val="24"/>
                <w:szCs w:val="24"/>
                <w:lang w:val="en-US" w:eastAsia="zh-CN"/>
              </w:rPr>
              <w:t>水质自动采样器</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496A1B6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24615F4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6A70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E01F1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3BFEE53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9061F9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雨量计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2A27A7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5428680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5C028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018DE7">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702CE3A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6D806A6E">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水位计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315169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4E52DC5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7E286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DF21F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3F41896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60DDAD1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流量计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7BCC2572">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AD21BF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014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restart"/>
            <w:tcBorders>
              <w:top w:val="nil"/>
              <w:left w:val="single" w:color="000000" w:sz="4" w:space="0"/>
              <w:bottom w:val="single" w:color="000000" w:sz="4" w:space="0"/>
              <w:right w:val="single" w:color="000000" w:sz="4" w:space="0"/>
            </w:tcBorders>
            <w:noWrap w:val="0"/>
            <w:vAlign w:val="center"/>
          </w:tcPr>
          <w:p w14:paraId="4858C098">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500" w:type="dxa"/>
            <w:vMerge w:val="restart"/>
            <w:tcBorders>
              <w:top w:val="nil"/>
              <w:left w:val="single" w:color="000000" w:sz="4" w:space="0"/>
              <w:bottom w:val="single" w:color="000000" w:sz="4" w:space="0"/>
              <w:right w:val="single" w:color="000000" w:sz="4" w:space="0"/>
            </w:tcBorders>
            <w:noWrap w:val="0"/>
            <w:vAlign w:val="center"/>
          </w:tcPr>
          <w:p w14:paraId="1DD3E6D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智能水样采样器</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800BA2E">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kern w:val="2"/>
                <w:sz w:val="24"/>
                <w:szCs w:val="24"/>
                <w:lang w:val="en-US" w:eastAsia="zh-CN"/>
              </w:rPr>
              <w:t>水质自动采样器</w:t>
            </w:r>
            <w:ins w:id="2" w:author="易大林" w:date="2025-07-18T15:56:30Z">
              <w:r>
                <w:rPr>
                  <w:rFonts w:hint="eastAsia" w:ascii="宋体" w:hAnsi="宋体" w:eastAsia="宋体" w:cs="宋体"/>
                  <w:b w:val="0"/>
                  <w:bCs w:val="0"/>
                  <w:kern w:val="2"/>
                  <w:sz w:val="24"/>
                  <w:szCs w:val="24"/>
                  <w:lang w:val="en-US" w:eastAsia="zh-CN"/>
                </w:rPr>
                <w:t>（含pH值在线监测仪）</w:t>
              </w:r>
            </w:ins>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4DACF93">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4D2D129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5133D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nil"/>
              <w:left w:val="single" w:color="000000" w:sz="4" w:space="0"/>
              <w:bottom w:val="single" w:color="000000" w:sz="4" w:space="0"/>
              <w:right w:val="single" w:color="000000" w:sz="4" w:space="0"/>
            </w:tcBorders>
            <w:noWrap w:val="0"/>
            <w:vAlign w:val="center"/>
          </w:tcPr>
          <w:p w14:paraId="18EA40C2">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29D11CD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238CD7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雨量计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1788AA1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621A11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261D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nil"/>
              <w:left w:val="single" w:color="000000" w:sz="4" w:space="0"/>
              <w:bottom w:val="single" w:color="000000" w:sz="4" w:space="0"/>
              <w:right w:val="single" w:color="000000" w:sz="4" w:space="0"/>
            </w:tcBorders>
            <w:noWrap w:val="0"/>
            <w:vAlign w:val="center"/>
          </w:tcPr>
          <w:p w14:paraId="528F504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3AB66FD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56DDCF7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水位计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7EF74EE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2BA9F23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78A67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nil"/>
              <w:left w:val="single" w:color="000000" w:sz="4" w:space="0"/>
              <w:bottom w:val="single" w:color="000000" w:sz="4" w:space="0"/>
              <w:right w:val="single" w:color="000000" w:sz="4" w:space="0"/>
            </w:tcBorders>
            <w:noWrap w:val="0"/>
            <w:vAlign w:val="center"/>
          </w:tcPr>
          <w:p w14:paraId="4EA19F9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1B1BCA6E">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776118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流量计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7EEAE8E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239E8CFD">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0D70E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nil"/>
              <w:left w:val="single" w:color="000000" w:sz="4" w:space="0"/>
              <w:bottom w:val="single" w:color="000000" w:sz="4" w:space="0"/>
              <w:right w:val="single" w:color="000000" w:sz="4" w:space="0"/>
            </w:tcBorders>
            <w:noWrap w:val="0"/>
            <w:vAlign w:val="center"/>
          </w:tcPr>
          <w:p w14:paraId="2BFF97F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18BF80DC">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E8B213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pH计</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3938E53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00B22BB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48E25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top w:val="nil"/>
              <w:left w:val="single" w:color="000000" w:sz="4" w:space="0"/>
              <w:bottom w:val="single" w:color="000000" w:sz="4" w:space="0"/>
              <w:right w:val="single" w:color="000000" w:sz="4" w:space="0"/>
            </w:tcBorders>
            <w:noWrap w:val="0"/>
            <w:vAlign w:val="center"/>
          </w:tcPr>
          <w:p w14:paraId="74220FF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nil"/>
              <w:left w:val="single" w:color="000000" w:sz="4" w:space="0"/>
              <w:bottom w:val="single" w:color="000000" w:sz="4" w:space="0"/>
              <w:right w:val="single" w:color="000000" w:sz="4" w:space="0"/>
            </w:tcBorders>
            <w:noWrap w:val="0"/>
            <w:vAlign w:val="center"/>
          </w:tcPr>
          <w:p w14:paraId="4CBE7A0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306F89C3">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视频监控装置</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ED5E337">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6B49DA9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552BA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1" w:type="dxa"/>
            <w:vMerge w:val="restart"/>
            <w:tcBorders>
              <w:top w:val="single" w:color="000000" w:sz="4" w:space="0"/>
              <w:left w:val="single" w:color="000000" w:sz="4" w:space="0"/>
              <w:right w:val="single" w:color="000000" w:sz="4" w:space="0"/>
            </w:tcBorders>
            <w:noWrap w:val="0"/>
            <w:vAlign w:val="center"/>
          </w:tcPr>
          <w:p w14:paraId="449C3124">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500" w:type="dxa"/>
            <w:vMerge w:val="restart"/>
            <w:tcBorders>
              <w:top w:val="single" w:color="000000" w:sz="4" w:space="0"/>
              <w:left w:val="single" w:color="000000" w:sz="4" w:space="0"/>
              <w:bottom w:val="single" w:color="000000" w:sz="4" w:space="0"/>
              <w:right w:val="single" w:color="000000" w:sz="4" w:space="0"/>
            </w:tcBorders>
            <w:noWrap w:val="0"/>
            <w:vAlign w:val="center"/>
          </w:tcPr>
          <w:p w14:paraId="164EC5A3">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水站集成系统</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47FF7512">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集成系统（系统集成、采样单元、配水和预处理单元、控制单元、留样单元、质控单元）</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C2CD74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353E129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F8AD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vMerge w:val="continue"/>
            <w:tcBorders>
              <w:left w:val="single" w:color="000000" w:sz="4" w:space="0"/>
              <w:bottom w:val="single" w:color="000000" w:sz="4" w:space="0"/>
              <w:right w:val="single" w:color="000000" w:sz="4" w:space="0"/>
            </w:tcBorders>
            <w:noWrap w:val="0"/>
            <w:vAlign w:val="center"/>
          </w:tcPr>
          <w:p w14:paraId="74869913">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F13FF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0371745B">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辅助单元（废液单元、UPS、稳压电源、门禁、防雷、自动灭火装置、试剂恒温装置、视频监控、纯水机及专用工具）</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76D7F64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184CE8F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6752E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053621BD">
            <w:pPr>
              <w:keepNext w:val="0"/>
              <w:keepLines w:val="0"/>
              <w:widowControl/>
              <w:suppressLineNumbers w:val="0"/>
              <w:autoSpaceDE w:val="0"/>
              <w:autoSpaceDN w:val="0"/>
              <w:spacing w:line="240" w:lineRule="auto"/>
              <w:ind w:left="0" w:leftChars="0"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A3E2C0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站房建设</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688A546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rPr>
              <w:t>固定式站房</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1D5C5D16">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55547A91">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套</w:t>
            </w:r>
          </w:p>
        </w:tc>
      </w:tr>
      <w:tr w14:paraId="0DB5C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1041" w:type="dxa"/>
            <w:tcBorders>
              <w:top w:val="single" w:color="000000" w:sz="4" w:space="0"/>
              <w:left w:val="single" w:color="000000" w:sz="4" w:space="0"/>
              <w:bottom w:val="single" w:color="000000" w:sz="4" w:space="0"/>
              <w:right w:val="single" w:color="000000" w:sz="4" w:space="0"/>
            </w:tcBorders>
            <w:noWrap w:val="0"/>
            <w:vAlign w:val="center"/>
          </w:tcPr>
          <w:p w14:paraId="3A8B7377">
            <w:pPr>
              <w:keepNext w:val="0"/>
              <w:keepLines w:val="0"/>
              <w:widowControl/>
              <w:suppressLineNumbers w:val="0"/>
              <w:autoSpaceDE w:val="0"/>
              <w:autoSpaceDN w:val="0"/>
              <w:spacing w:line="240" w:lineRule="auto"/>
              <w:ind w:left="0" w:leftChars="0" w:firstLine="0" w:firstLineChars="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3567ECA">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运行维护</w:t>
            </w:r>
          </w:p>
        </w:tc>
        <w:tc>
          <w:tcPr>
            <w:tcW w:w="3792" w:type="dxa"/>
            <w:tcBorders>
              <w:top w:val="single" w:color="000000" w:sz="4" w:space="0"/>
              <w:left w:val="single" w:color="000000" w:sz="4" w:space="0"/>
              <w:bottom w:val="single" w:color="000000" w:sz="4" w:space="0"/>
              <w:right w:val="single" w:color="000000" w:sz="4" w:space="0"/>
            </w:tcBorders>
            <w:noWrap w:val="0"/>
            <w:vAlign w:val="center"/>
          </w:tcPr>
          <w:p w14:paraId="2B23A6B0">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全托管运维（含站点水电费、通讯费等）</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989582F">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noWrap w:val="0"/>
            <w:vAlign w:val="center"/>
          </w:tcPr>
          <w:p w14:paraId="781A9689">
            <w:pPr>
              <w:keepNext w:val="0"/>
              <w:keepLines w:val="0"/>
              <w:widowControl/>
              <w:suppressLineNumbers w:val="0"/>
              <w:autoSpaceDE w:val="0"/>
              <w:autoSpaceDN w:val="0"/>
              <w:spacing w:line="240" w:lineRule="auto"/>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年</w:t>
            </w:r>
          </w:p>
        </w:tc>
      </w:tr>
      <w:tr w14:paraId="6C369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8310" w:type="dxa"/>
            <w:gridSpan w:val="5"/>
            <w:tcBorders>
              <w:top w:val="single" w:color="000000" w:sz="4" w:space="0"/>
              <w:left w:val="single" w:color="000000" w:sz="4" w:space="0"/>
              <w:bottom w:val="single" w:color="000000" w:sz="4" w:space="0"/>
              <w:right w:val="single" w:color="000000" w:sz="4" w:space="0"/>
            </w:tcBorders>
            <w:noWrap w:val="0"/>
            <w:vAlign w:val="center"/>
          </w:tcPr>
          <w:p w14:paraId="3F12E5A2">
            <w:pPr>
              <w:keepNext w:val="0"/>
              <w:keepLines w:val="0"/>
              <w:widowControl/>
              <w:suppressLineNumbers w:val="0"/>
              <w:autoSpaceDE w:val="0"/>
              <w:autoSpaceDN w:val="0"/>
              <w:spacing w:line="240" w:lineRule="auto"/>
              <w:ind w:left="0" w:leftChars="0" w:firstLine="0" w:firstLineChars="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注：</w:t>
            </w:r>
            <w:r>
              <w:rPr>
                <w:rFonts w:hint="eastAsia" w:ascii="宋体" w:hAnsi="宋体" w:eastAsia="宋体" w:cs="宋体"/>
                <w:b w:val="0"/>
                <w:bCs w:val="0"/>
                <w:sz w:val="24"/>
                <w:szCs w:val="24"/>
                <w:u w:val="none"/>
                <w:lang w:val="en-US" w:eastAsia="zh-CN"/>
              </w:rPr>
              <w:t>本项目为交钥匙工程，项目费用包含：设备采购与安装、设备拆除搬运、水电费、网络等费用，投标人报价为含税全包价并需全面考虑此项目的所有细节，招标人不再为此项目支付额外费用</w:t>
            </w:r>
          </w:p>
        </w:tc>
      </w:tr>
    </w:tbl>
    <w:p w14:paraId="7FF59728">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（二）主要规范及标准</w:t>
      </w:r>
    </w:p>
    <w:p w14:paraId="4E46A7D5">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1、《水和废水监测分析方法》（第四版）</w:t>
      </w:r>
      <w:r>
        <w:rPr>
          <w:rFonts w:hint="eastAsia" w:ascii="宋体" w:hAnsi="宋体" w:eastAsia="宋体" w:cs="宋体"/>
          <w:b w:val="0"/>
          <w:bCs/>
          <w:color w:val="000000"/>
          <w:spacing w:val="0"/>
          <w:sz w:val="24"/>
          <w:szCs w:val="24"/>
          <w:highlight w:val="none"/>
          <w:lang w:val="en-US" w:eastAsia="zh-CN" w:bidi="ar-SA"/>
        </w:rPr>
        <w:tab/>
      </w:r>
    </w:p>
    <w:p w14:paraId="74C9B41B">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2、《水污染物排放总量监测技术规范》</w:t>
      </w:r>
    </w:p>
    <w:p w14:paraId="616C22C0">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3、《地表水和污水监测技术规范》（HJ/T 91-2002 ）</w:t>
      </w:r>
    </w:p>
    <w:p w14:paraId="294AC20A">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4、《地表水自动监测技术规范》（HJ 915-2017）</w:t>
      </w:r>
    </w:p>
    <w:p w14:paraId="20C01590">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5、《水质河流采样技术指导》（HJ/T 52-1999）</w:t>
      </w:r>
    </w:p>
    <w:p w14:paraId="19D726E9">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6、《pH水质自动分析仪技术要求》（HJ/T 96-2003）</w:t>
      </w:r>
    </w:p>
    <w:p w14:paraId="3558428D">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7、《电导率水质自动分析仪技术要求》（HJ/T 97-2003）</w:t>
      </w:r>
    </w:p>
    <w:p w14:paraId="7EA22569">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8、《浊度水质自动分析仪技术要求》（HJ/T 98-2003）</w:t>
      </w:r>
    </w:p>
    <w:p w14:paraId="57DA6583">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9、《溶解氧（DO）水质自动分析仪技术要求》（HJ/T 99-2003）</w:t>
      </w:r>
    </w:p>
    <w:p w14:paraId="71EA8ACD">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10、《高锰酸盐指数水质自动分析仪技术要求》（HJ/T 100-2003）</w:t>
      </w:r>
    </w:p>
    <w:p w14:paraId="3A2580C8">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11、《氨氮水质自动分析仪技术要求》（HJ/T 101-2003）</w:t>
      </w:r>
    </w:p>
    <w:p w14:paraId="195A8545">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12、《总氮水质自动分析仪技术要求》（HJ/T 102-2003）</w:t>
      </w:r>
    </w:p>
    <w:p w14:paraId="4595D748">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13、《总磷水质自动分析仪技术要求》（HJ/T 103-2003）</w:t>
      </w:r>
    </w:p>
    <w:p w14:paraId="6F22716A">
      <w:pPr>
        <w:keepNext w:val="0"/>
        <w:keepLines w:val="0"/>
        <w:pageBreakBefore w:val="0"/>
        <w:widowControl w:val="0"/>
        <w:spacing w:before="0" w:after="0" w:line="440" w:lineRule="exact"/>
        <w:ind w:right="0" w:firstLine="240" w:firstLineChars="100"/>
        <w:jc w:val="left"/>
        <w:rPr>
          <w:rFonts w:hint="default" w:ascii="宋体" w:hAnsi="宋体" w:eastAsia="宋体" w:cs="宋体"/>
          <w:b w:val="0"/>
          <w:bCs/>
          <w:color w:val="000000"/>
          <w:spacing w:val="0"/>
          <w:sz w:val="24"/>
          <w:szCs w:val="24"/>
          <w:highlight w:val="none"/>
          <w:lang w:val="en-US" w:eastAsia="en-US" w:bidi="ar-SA"/>
        </w:rPr>
      </w:pPr>
      <w:r>
        <w:rPr>
          <w:rFonts w:hint="eastAsia" w:ascii="宋体" w:hAnsi="宋体" w:eastAsia="宋体" w:cs="宋体"/>
          <w:b w:val="0"/>
          <w:bCs/>
          <w:color w:val="000000"/>
          <w:spacing w:val="0"/>
          <w:sz w:val="24"/>
          <w:szCs w:val="24"/>
          <w:highlight w:val="none"/>
          <w:lang w:val="en-US" w:eastAsia="zh-CN" w:bidi="ar-SA"/>
        </w:rPr>
        <w:t>（三）货物整体要求</w:t>
      </w:r>
    </w:p>
    <w:p w14:paraId="38D95982">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1、投标人应提供原装、全新的、符合国家及采购方提出的有关质量标准的设备，提供原厂配套的配件，</w:t>
      </w:r>
      <w:r>
        <w:rPr>
          <w:rFonts w:hint="eastAsia" w:ascii="宋体" w:hAnsi="宋体" w:cs="宋体"/>
          <w:b w:val="0"/>
          <w:bCs/>
          <w:color w:val="000000"/>
          <w:spacing w:val="0"/>
          <w:sz w:val="24"/>
          <w:szCs w:val="24"/>
          <w:highlight w:val="none"/>
          <w:lang w:val="en-US" w:eastAsia="zh-CN" w:bidi="ar-SA"/>
        </w:rPr>
        <w:t>须具备</w:t>
      </w:r>
      <w:r>
        <w:rPr>
          <w:rFonts w:hint="eastAsia" w:ascii="宋体" w:hAnsi="宋体" w:eastAsia="宋体" w:cs="宋体"/>
          <w:b w:val="0"/>
          <w:bCs/>
          <w:color w:val="000000"/>
          <w:spacing w:val="0"/>
          <w:sz w:val="24"/>
          <w:szCs w:val="24"/>
          <w:highlight w:val="none"/>
          <w:lang w:val="en-US" w:eastAsia="zh-CN" w:bidi="ar-SA"/>
        </w:rPr>
        <w:t>生产厂商的质量合格证明、保修证明及加盖公章的技术证明文件。所提供的仪器设备的性能达到或优于本招标文件所列技术指标。</w:t>
      </w:r>
    </w:p>
    <w:p w14:paraId="21EB285A">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Times New Roman" w:hAnsi="Times New Roman" w:cs="仿宋"/>
          <w:color w:val="auto"/>
          <w:sz w:val="24"/>
          <w:highlight w:val="none"/>
        </w:rPr>
        <w:t>★</w:t>
      </w:r>
      <w:r>
        <w:rPr>
          <w:rFonts w:hint="eastAsia" w:ascii="宋体" w:hAnsi="宋体" w:eastAsia="宋体" w:cs="宋体"/>
          <w:b w:val="0"/>
          <w:bCs/>
          <w:color w:val="000000"/>
          <w:spacing w:val="0"/>
          <w:sz w:val="24"/>
          <w:szCs w:val="24"/>
          <w:highlight w:val="none"/>
          <w:lang w:val="en-US" w:eastAsia="zh-CN" w:bidi="ar-SA"/>
        </w:rPr>
        <w:t>2、投标人须承诺中标后90日历天内配齐本项目需求所涉及的仪器设备、耗材和备件、备机。备件和耗材按照一年的使用量进行配置，必须使用原厂生产的备品备件及耗材。（格式自拟）</w:t>
      </w:r>
    </w:p>
    <w:p w14:paraId="74CF162F">
      <w:pPr>
        <w:keepNext w:val="0"/>
        <w:keepLines w:val="0"/>
        <w:pageBreakBefore w:val="0"/>
        <w:widowControl w:val="0"/>
        <w:spacing w:before="0" w:after="0" w:line="440" w:lineRule="exact"/>
        <w:ind w:left="0" w:right="0" w:firstLine="480"/>
        <w:jc w:val="left"/>
        <w:rPr>
          <w:rFonts w:hint="eastAsia" w:ascii="宋体" w:hAnsi="宋体" w:eastAsia="宋体" w:cs="宋体"/>
          <w:b w:val="0"/>
          <w:bCs/>
          <w:color w:val="000000"/>
          <w:spacing w:val="0"/>
          <w:sz w:val="24"/>
          <w:szCs w:val="24"/>
          <w:highlight w:val="none"/>
          <w:lang w:val="en-US" w:eastAsia="zh-CN" w:bidi="ar-SA"/>
        </w:rPr>
      </w:pPr>
      <w:r>
        <w:rPr>
          <w:rFonts w:hint="eastAsia" w:ascii="宋体" w:hAnsi="宋体" w:eastAsia="宋体" w:cs="宋体"/>
          <w:b w:val="0"/>
          <w:bCs/>
          <w:color w:val="000000"/>
          <w:spacing w:val="0"/>
          <w:sz w:val="24"/>
          <w:szCs w:val="24"/>
          <w:highlight w:val="none"/>
          <w:lang w:val="en-US" w:eastAsia="zh-CN" w:bidi="ar-SA"/>
        </w:rPr>
        <w:t>▲3、投标人为本项目所投常规九参数分析仪器（水质五参数、氨氮、高锰酸盐指数、总磷、总氮）须提供环境监测仪器质量监督检验中心检测报告或省级及以上</w:t>
      </w:r>
      <w:bookmarkStart w:id="176" w:name="_GoBack"/>
      <w:r>
        <w:rPr>
          <w:rFonts w:hint="eastAsia" w:ascii="宋体" w:hAnsi="宋体" w:eastAsia="宋体" w:cs="宋体"/>
          <w:b w:val="0"/>
          <w:bCs/>
          <w:color w:val="000000"/>
          <w:spacing w:val="0"/>
          <w:sz w:val="24"/>
          <w:szCs w:val="24"/>
          <w:highlight w:val="none"/>
          <w:lang w:val="en-US" w:eastAsia="zh-CN" w:bidi="ar-SA"/>
        </w:rPr>
        <w:t>计量单位检测报告</w:t>
      </w:r>
      <w:bookmarkEnd w:id="176"/>
      <w:r>
        <w:rPr>
          <w:rFonts w:hint="eastAsia" w:ascii="宋体" w:hAnsi="宋体" w:eastAsia="宋体" w:cs="宋体"/>
          <w:b w:val="0"/>
          <w:bCs/>
          <w:color w:val="000000"/>
          <w:spacing w:val="0"/>
          <w:sz w:val="24"/>
          <w:szCs w:val="24"/>
          <w:highlight w:val="none"/>
          <w:lang w:val="en-US" w:eastAsia="zh-CN" w:bidi="ar-SA"/>
        </w:rPr>
        <w:t>，</w:t>
      </w:r>
    </w:p>
    <w:p w14:paraId="79EA78EE">
      <w:pPr>
        <w:numPr>
          <w:ilvl w:val="0"/>
          <w:numId w:val="0"/>
        </w:numPr>
        <w:spacing w:line="400" w:lineRule="exact"/>
        <w:jc w:val="both"/>
        <w:outlineLvl w:val="9"/>
        <w:rPr>
          <w:rFonts w:hint="eastAsia" w:ascii="宋体" w:hAnsi="宋体" w:eastAsia="宋体" w:cs="宋体"/>
          <w:b/>
          <w:color w:val="000000"/>
          <w:sz w:val="24"/>
          <w:szCs w:val="24"/>
          <w:highlight w:val="none"/>
          <w:rtl w:val="0"/>
          <w:lang w:val="en-US" w:eastAsia="en-US"/>
        </w:rPr>
      </w:pPr>
      <w:r>
        <w:rPr>
          <w:rFonts w:hint="eastAsia" w:ascii="宋体" w:hAnsi="宋体" w:cs="宋体"/>
          <w:b/>
          <w:color w:val="000000"/>
          <w:sz w:val="24"/>
          <w:szCs w:val="24"/>
          <w:highlight w:val="none"/>
          <w:rtl w:val="0"/>
          <w:lang w:val="en-US" w:eastAsia="zh-CN"/>
        </w:rPr>
        <w:t>三</w:t>
      </w:r>
      <w:r>
        <w:rPr>
          <w:rFonts w:hint="eastAsia" w:ascii="宋体" w:hAnsi="宋体" w:eastAsia="宋体" w:cs="宋体"/>
          <w:b/>
          <w:color w:val="000000"/>
          <w:sz w:val="24"/>
          <w:szCs w:val="24"/>
          <w:highlight w:val="none"/>
          <w:rtl w:val="0"/>
          <w:lang w:val="en-US" w:eastAsia="zh-CN"/>
        </w:rPr>
        <w:t>、设备等技术要求</w:t>
      </w:r>
    </w:p>
    <w:p w14:paraId="2118DD1A">
      <w:pPr>
        <w:pStyle w:val="3"/>
        <w:bidi w:val="0"/>
        <w:spacing w:beforeLines="0" w:afterLines="0" w:line="240" w:lineRule="auto"/>
        <w:ind w:firstLine="482" w:firstLineChars="200"/>
        <w:rPr>
          <w:rFonts w:hint="default" w:ascii="Arial" w:hAnsi="Arial" w:eastAsia="宋体" w:cs="方正仿宋_GBK"/>
          <w:kern w:val="2"/>
          <w:sz w:val="24"/>
          <w:szCs w:val="32"/>
          <w:lang w:val="en-US" w:eastAsia="zh-CN"/>
        </w:rPr>
      </w:pPr>
      <w:r>
        <w:rPr>
          <w:rFonts w:hint="eastAsia" w:ascii="Arial" w:hAnsi="Arial" w:eastAsia="宋体" w:cs="方正仿宋_GBK"/>
          <w:kern w:val="2"/>
          <w:sz w:val="24"/>
          <w:szCs w:val="32"/>
          <w:lang w:val="en-US" w:eastAsia="zh-CN"/>
        </w:rPr>
        <w:t>（一）总体要求</w:t>
      </w:r>
    </w:p>
    <w:p w14:paraId="5793835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针对河道水质在线监测站点建设要求，总体功能需求如下：</w:t>
      </w:r>
    </w:p>
    <w:p w14:paraId="32BFB3E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1、能连续反映被测河流断面的水质变化情况，准确及时捕捉污染物并发出预警信号，测点布置合理，采样方式恰当，避开死水区及季节性断流带取样；</w:t>
      </w:r>
    </w:p>
    <w:p w14:paraId="7A4C47B8">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2、仪器设备分类安装，布置合理美观，管线布置通畅合理，管材选择确保系统能长期有效运行，管道及所有与被测介质接触的部件，允许清洗介质通过而不产生损坏；</w:t>
      </w:r>
    </w:p>
    <w:p w14:paraId="0F4FCEF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3、系统中关键部件（如阀门、接头等）使用合格产品，综合方案系统性能稳定，运行费用低，维护工作量小；</w:t>
      </w:r>
    </w:p>
    <w:p w14:paraId="6525FD9B">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4、整个采水系统采用有效的措施，进样安装遵循与水体距离最短原则；</w:t>
      </w:r>
    </w:p>
    <w:p w14:paraId="5129C535">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5、自动化程度高，做到自动采样、自动分析和自动清洗以及数据记录和输出等环节的可靠有效，可实现远程启动主要自动分析仪。</w:t>
      </w:r>
    </w:p>
    <w:p w14:paraId="47C89742">
      <w:pPr>
        <w:keepNext/>
        <w:keepLines/>
        <w:widowControl w:val="0"/>
        <w:bidi w:val="0"/>
        <w:spacing w:before="260" w:beforeLines="0" w:after="260" w:afterLines="0"/>
        <w:ind w:firstLine="482" w:firstLineChars="200"/>
        <w:jc w:val="both"/>
        <w:outlineLvl w:val="1"/>
        <w:rPr>
          <w:rFonts w:hint="eastAsia" w:ascii="Arial" w:hAnsi="Arial" w:eastAsia="宋体" w:cs="方正仿宋_GBK"/>
          <w:b/>
          <w:kern w:val="2"/>
          <w:sz w:val="24"/>
          <w:szCs w:val="32"/>
          <w:lang w:val="en-US" w:eastAsia="zh-CN" w:bidi="ar-SA"/>
        </w:rPr>
      </w:pPr>
      <w:r>
        <w:rPr>
          <w:rFonts w:hint="eastAsia" w:ascii="Arial" w:hAnsi="Arial" w:eastAsia="宋体" w:cs="方正仿宋_GBK"/>
          <w:b/>
          <w:kern w:val="2"/>
          <w:sz w:val="24"/>
          <w:szCs w:val="32"/>
          <w:lang w:val="en-US" w:eastAsia="zh-CN" w:bidi="ar-SA"/>
        </w:rPr>
        <w:t>（二）</w:t>
      </w:r>
      <w:r>
        <w:rPr>
          <w:rFonts w:hint="eastAsia" w:ascii="宋体" w:hAnsi="宋体" w:eastAsia="宋体" w:cs="宋体"/>
          <w:b/>
          <w:i w:val="0"/>
          <w:iCs w:val="0"/>
          <w:color w:val="000000"/>
          <w:kern w:val="0"/>
          <w:sz w:val="24"/>
          <w:szCs w:val="24"/>
          <w:u w:val="none"/>
          <w:lang w:val="en-US" w:eastAsia="zh-CN" w:bidi="ar-SA"/>
        </w:rPr>
        <w:t>固定式站房</w:t>
      </w:r>
    </w:p>
    <w:p w14:paraId="57FE5B0C">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1、站房结构技术要求站房主体符合现行国家标准《门式</w:t>
      </w:r>
      <w:r>
        <w:rPr>
          <w:rFonts w:hint="eastAsia" w:ascii="宋体" w:hAnsi="宋体" w:cs="宋体"/>
          <w:b w:val="0"/>
          <w:bCs w:val="0"/>
          <w:kern w:val="2"/>
          <w:sz w:val="24"/>
          <w:szCs w:val="24"/>
          <w:lang w:val="en-US" w:eastAsia="zh-CN"/>
        </w:rPr>
        <w:t>钢架</w:t>
      </w:r>
      <w:r>
        <w:rPr>
          <w:rFonts w:hint="eastAsia" w:ascii="宋体" w:hAnsi="宋体" w:eastAsia="宋体" w:cs="宋体"/>
          <w:b w:val="0"/>
          <w:bCs w:val="0"/>
          <w:kern w:val="2"/>
          <w:sz w:val="24"/>
          <w:szCs w:val="24"/>
          <w:lang w:val="en-US" w:eastAsia="zh-CN"/>
        </w:rPr>
        <w:t>轻型房屋钢结构技术规范》(GB 51022)实际尺寸不低于3</w:t>
      </w:r>
      <w:ins w:id="3" w:author="易大林" w:date="2025-07-18T15:24:54Z">
        <w:r>
          <w:rPr>
            <w:rFonts w:hint="eastAsia" w:ascii="宋体" w:hAnsi="宋体" w:eastAsia="宋体" w:cs="宋体"/>
            <w:b w:val="0"/>
            <w:bCs w:val="0"/>
            <w:kern w:val="2"/>
            <w:sz w:val="24"/>
            <w:szCs w:val="24"/>
            <w:lang w:val="en-US" w:eastAsia="zh-CN"/>
          </w:rPr>
          <w:t>0</w:t>
        </w:r>
      </w:ins>
      <w:r>
        <w:rPr>
          <w:rFonts w:hint="eastAsia" w:ascii="宋体" w:hAnsi="宋体" w:eastAsia="宋体" w:cs="宋体"/>
          <w:b w:val="0"/>
          <w:bCs w:val="0"/>
          <w:kern w:val="2"/>
          <w:sz w:val="24"/>
          <w:szCs w:val="24"/>
          <w:lang w:val="en-US" w:eastAsia="zh-CN"/>
        </w:rPr>
        <w:t>平方</w:t>
      </w:r>
      <w:r>
        <w:rPr>
          <w:rFonts w:hint="eastAsia" w:ascii="宋体" w:hAnsi="宋体" w:eastAsia="宋体" w:cs="宋体"/>
          <w:b w:val="0"/>
          <w:bCs w:val="0"/>
          <w:kern w:val="2"/>
          <w:sz w:val="24"/>
          <w:szCs w:val="24"/>
          <w:lang w:val="en-US" w:eastAsia="zh-CN"/>
        </w:rPr>
        <w:t>米，含站房配套基础、地坪可抗，站房可防七级以下地震，质保10年。</w:t>
      </w:r>
    </w:p>
    <w:p w14:paraId="71AFAC58">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2、站房内部进行隔热保温处理，夹层采用防火隔热的岩棉，地板铺设防滑花纹钢板、防滑地砖、防水专用地板胶。</w:t>
      </w:r>
    </w:p>
    <w:p w14:paraId="18269362">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3、仪器室内预留 30cm 深地沟，地沟上面加盖板(需便于取放)，地沟的地漏和站房排水系统相连。</w:t>
      </w:r>
    </w:p>
    <w:p w14:paraId="0379F60B">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4、钢架、吊车梁和焊接的檩条、墙梁等构件宜采用 Q235B或Q345A 及以上等级的</w:t>
      </w:r>
      <w:r>
        <w:rPr>
          <w:rFonts w:hint="eastAsia" w:ascii="宋体" w:hAnsi="宋体" w:cs="宋体"/>
          <w:b w:val="0"/>
          <w:bCs w:val="0"/>
          <w:kern w:val="2"/>
          <w:sz w:val="24"/>
          <w:szCs w:val="24"/>
          <w:lang w:val="en-US" w:eastAsia="zh-CN"/>
        </w:rPr>
        <w:t>镀锌</w:t>
      </w:r>
      <w:r>
        <w:rPr>
          <w:rFonts w:hint="eastAsia" w:ascii="宋体" w:hAnsi="宋体" w:eastAsia="宋体" w:cs="宋体"/>
          <w:b w:val="0"/>
          <w:bCs w:val="0"/>
          <w:kern w:val="2"/>
          <w:sz w:val="24"/>
          <w:szCs w:val="24"/>
          <w:lang w:val="en-US" w:eastAsia="zh-CN"/>
        </w:rPr>
        <w:t>钢材。非焊接的檩条和墙梁等构件可采用Q235A</w:t>
      </w:r>
      <w:r>
        <w:rPr>
          <w:rFonts w:hint="eastAsia" w:ascii="宋体" w:hAnsi="宋体" w:cs="宋体"/>
          <w:b w:val="0"/>
          <w:bCs w:val="0"/>
          <w:kern w:val="2"/>
          <w:sz w:val="24"/>
          <w:szCs w:val="24"/>
          <w:lang w:val="en-US" w:eastAsia="zh-CN"/>
        </w:rPr>
        <w:t>镀锌</w:t>
      </w:r>
      <w:r>
        <w:rPr>
          <w:rFonts w:hint="eastAsia" w:ascii="宋体" w:hAnsi="宋体" w:eastAsia="宋体" w:cs="宋体"/>
          <w:b w:val="0"/>
          <w:bCs w:val="0"/>
          <w:kern w:val="2"/>
          <w:sz w:val="24"/>
          <w:szCs w:val="24"/>
          <w:lang w:val="en-US" w:eastAsia="zh-CN"/>
        </w:rPr>
        <w:t>钢材。</w:t>
      </w:r>
    </w:p>
    <w:p w14:paraId="63EC5C4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5、屋面及墙面板材应采用符合现行国家标准《连续热镀锌钢板及钢带》(GB/T 2518)、《连续热镀铝锌合金镀层钢板及钢带》(GB/T 14978)和《彩色涂层钢板及钢带》(GB/T 12754)规定的钢板，采用的压型钢板应符合现行国家标准《建筑用压型钢板》(GB/T 12755)的规定。采用厚度不少于1.5mm的不锈钢材质或连续热镀锌钢板。</w:t>
      </w:r>
    </w:p>
    <w:p w14:paraId="56BB0D9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6、站房前端设置可开合的透气百叶窗，站房侧面设置通风换气窗。</w:t>
      </w:r>
    </w:p>
    <w:p w14:paraId="160B21B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7、站房前道路不少于2.5米宽,约40米长（18cm砼路面+20cm灰土），通至干线公路，自行实地勘察，综合考虑在报价中。</w:t>
      </w:r>
    </w:p>
    <w:p w14:paraId="0AC2CA4A">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8、站房前应延伸有同站房相齐，不少于5米宽的硬化地坪，厚度不少于30CM，方便运维人员停放车辆和运维物资，自行实地勘察，综合考虑在报价中。</w:t>
      </w:r>
    </w:p>
    <w:p w14:paraId="505E315B">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9、站房周围应设有不低于1.2米高的不锈钢护栏，自行实地勘察，综合考虑在报价中。</w:t>
      </w:r>
    </w:p>
    <w:p w14:paraId="54C9B0F6">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10、站房基础应根据当地水位变化，架空建设，地基与地面标高±0.00。</w:t>
      </w:r>
    </w:p>
    <w:p w14:paraId="077B10E7">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11、站房内应配置不少于1.2米长的防酸碱化学实验台1套和实验凳，台上可以放置实验室对比仪器，配备冷藏柜以便于试剂存放，备有上下水、洗涤台。</w:t>
      </w:r>
    </w:p>
    <w:p w14:paraId="0412A6AB">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12、应配备冷藏容量不小于120L的冰柜一台。配备2台不少于2匹的冷暖一级能效变频空调。</w:t>
      </w:r>
    </w:p>
    <w:p w14:paraId="20340AD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13、站房内须配置不少于1米的工作台、办公椅和文件柜以满足运维人员办公需要。</w:t>
      </w:r>
    </w:p>
    <w:p w14:paraId="09CDE558">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14、采水管路开挖宽度不小于0.5m，深度一般不小于 0.5m。</w:t>
      </w:r>
    </w:p>
    <w:p w14:paraId="791C4752">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15、采水管路在转弯位置处须设置维修井。管线地面沿线须设立防误挖警示标志。</w:t>
      </w:r>
    </w:p>
    <w:p w14:paraId="2335E37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16、站房应引入清洁水。</w:t>
      </w:r>
      <w:r>
        <w:rPr>
          <w:rFonts w:hint="eastAsia" w:ascii="宋体" w:hAnsi="宋体" w:eastAsia="宋体" w:cs="宋体"/>
          <w:b w:val="0"/>
          <w:bCs w:val="0"/>
          <w:kern w:val="2"/>
          <w:sz w:val="24"/>
          <w:szCs w:val="24"/>
          <w:lang w:val="en-US" w:eastAsia="zh-CN"/>
        </w:rPr>
        <w:br w:type="textWrapping"/>
      </w:r>
      <w:r>
        <w:rPr>
          <w:rFonts w:hint="eastAsia" w:ascii="宋体" w:hAnsi="宋体" w:eastAsia="宋体" w:cs="宋体"/>
          <w:b w:val="0"/>
          <w:bCs w:val="0"/>
          <w:kern w:val="2"/>
          <w:sz w:val="24"/>
          <w:szCs w:val="24"/>
          <w:lang w:val="en-US" w:eastAsia="zh-CN"/>
        </w:rPr>
        <w:t>17、具备2</w:t>
      </w:r>
      <w:r>
        <w:rPr>
          <w:rFonts w:hint="eastAsia" w:ascii="宋体" w:hAnsi="宋体" w:cs="宋体"/>
          <w:b w:val="0"/>
          <w:bCs w:val="0"/>
          <w:kern w:val="2"/>
          <w:sz w:val="24"/>
          <w:szCs w:val="24"/>
          <w:lang w:val="en-US" w:eastAsia="zh-CN"/>
        </w:rPr>
        <w:t>～</w:t>
      </w:r>
      <w:r>
        <w:rPr>
          <w:rFonts w:hint="eastAsia" w:ascii="宋体" w:hAnsi="宋体" w:eastAsia="宋体" w:cs="宋体"/>
          <w:b w:val="0"/>
          <w:bCs w:val="0"/>
          <w:kern w:val="2"/>
          <w:sz w:val="24"/>
          <w:szCs w:val="24"/>
          <w:lang w:val="en-US" w:eastAsia="zh-CN"/>
        </w:rPr>
        <w:t>4h/次（可调）的监测能力。</w:t>
      </w:r>
    </w:p>
    <w:p w14:paraId="5DCBB1A2">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18、</w:t>
      </w:r>
      <w:r>
        <w:rPr>
          <w:rFonts w:hint="default" w:ascii="宋体" w:hAnsi="宋体" w:eastAsia="宋体" w:cs="宋体"/>
          <w:b w:val="0"/>
          <w:bCs w:val="0"/>
          <w:kern w:val="2"/>
          <w:sz w:val="24"/>
          <w:szCs w:val="24"/>
          <w:lang w:val="en-US" w:eastAsia="zh-CN"/>
        </w:rPr>
        <w:t>采水管路均采用保温措施，采样管与电缆置于同一套管内，埋地部分埋入冻土层以下(不少于</w:t>
      </w:r>
      <w:r>
        <w:rPr>
          <w:rFonts w:hint="eastAsia" w:ascii="宋体" w:hAnsi="宋体" w:eastAsia="宋体" w:cs="宋体"/>
          <w:b w:val="0"/>
          <w:bCs w:val="0"/>
          <w:kern w:val="2"/>
          <w:sz w:val="24"/>
          <w:szCs w:val="24"/>
          <w:lang w:val="en-US" w:eastAsia="zh-CN"/>
        </w:rPr>
        <w:t>5</w:t>
      </w:r>
      <w:r>
        <w:rPr>
          <w:rFonts w:hint="default" w:ascii="宋体" w:hAnsi="宋体" w:eastAsia="宋体" w:cs="宋体"/>
          <w:b w:val="0"/>
          <w:bCs w:val="0"/>
          <w:kern w:val="2"/>
          <w:sz w:val="24"/>
          <w:szCs w:val="24"/>
          <w:lang w:val="en-US" w:eastAsia="zh-CN"/>
        </w:rPr>
        <w:t>0cm)或安装于水泥堰槽内，管路外部安装保温套管进行隔热处理，外部套管保护应具有极好的物理化学稳定性。采水管路须采用两组镀锌钢管（管径DN150，厚度3.5mm及以上）作为保护套按规定实施保温、防冻、防冰凌措施</w:t>
      </w:r>
      <w:r>
        <w:rPr>
          <w:rFonts w:hint="eastAsia" w:ascii="宋体" w:hAnsi="宋体" w:eastAsia="宋体" w:cs="宋体"/>
          <w:b w:val="0"/>
          <w:bCs w:val="0"/>
          <w:kern w:val="2"/>
          <w:sz w:val="24"/>
          <w:szCs w:val="24"/>
          <w:lang w:val="en-US" w:eastAsia="zh-CN"/>
        </w:rPr>
        <w:t>。</w:t>
      </w:r>
    </w:p>
    <w:p w14:paraId="3DB275A0">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19、通信要求：应满足数据传输要求及视频远程查看要求，采用固定 IP传输网络，传输带宽不小于 20 兆。</w:t>
      </w:r>
    </w:p>
    <w:p w14:paraId="2527C104">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20、站房防雷系统应按照现行国家标准《建筑防雷设计规范》（GB 50057）的规定，对站房内的电源系统、通道和信号系统、接地系统等进行防雷措施建设和设置避雷针。</w:t>
      </w:r>
    </w:p>
    <w:p w14:paraId="48C51A02">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21、站房须设感烟探测器和火灾自动报警及自动灭火装置；火灾自动报警系统的设计应符合现行国家标准《火灾自动报警系统设计规范》（GB 50116）的规定；配置的自动灭火装置，需有国家强制性产品认证证书。自动灭火装置触发可靠，灭火时间短，灭火干粉对人和仪器无损害，体积美观实用，与站房和仪器系统整体协调。</w:t>
      </w:r>
    </w:p>
    <w:p w14:paraId="78477C6D">
      <w:pPr>
        <w:keepNext/>
        <w:keepLines/>
        <w:widowControl w:val="0"/>
        <w:bidi w:val="0"/>
        <w:spacing w:before="260" w:beforeLines="0" w:after="260" w:afterLines="0"/>
        <w:jc w:val="both"/>
        <w:outlineLvl w:val="1"/>
        <w:rPr>
          <w:rFonts w:hint="eastAsia" w:ascii="Arial" w:hAnsi="Arial" w:eastAsia="宋体" w:cs="方正仿宋_GBK"/>
          <w:b/>
          <w:kern w:val="2"/>
          <w:sz w:val="24"/>
          <w:szCs w:val="32"/>
          <w:lang w:val="en-US" w:eastAsia="zh-CN" w:bidi="ar-SA"/>
        </w:rPr>
      </w:pPr>
      <w:r>
        <w:rPr>
          <w:rFonts w:hint="eastAsia" w:ascii="Arial" w:hAnsi="Arial" w:eastAsia="宋体" w:cs="方正仿宋_GBK"/>
          <w:b/>
          <w:kern w:val="2"/>
          <w:sz w:val="24"/>
          <w:szCs w:val="32"/>
          <w:lang w:val="en-US" w:eastAsia="zh-CN" w:bidi="ar-SA"/>
        </w:rPr>
        <w:t>（三）水质分析仪器功能要求</w:t>
      </w:r>
    </w:p>
    <w:p w14:paraId="1883BEC6">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1、具有仪器运行状态（测量、空闲、故障、维护等）显示功能；</w:t>
      </w:r>
    </w:p>
    <w:p w14:paraId="23DCCF17">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2、具有仪器故障自动报警功能，如零部件故障、超量程报警、异常数据报警等信息，并能够记录上传；</w:t>
      </w:r>
    </w:p>
    <w:p w14:paraId="3636477C">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3、存储不少于3年的测量数据和运行日志；</w:t>
      </w:r>
    </w:p>
    <w:p w14:paraId="08EED6C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4、支持《国家地表水监测仪器通信协议技术要求》，输出信号采用RS-232 或 RS-485 标准通讯接口；</w:t>
      </w:r>
    </w:p>
    <w:p w14:paraId="46894DE4">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5、具备4小时1次的监测能力；</w:t>
      </w:r>
    </w:p>
    <w:p w14:paraId="30771956">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6、▲计量单元具有试剂余量监控及报警功能，能够显示试剂余量及其可以维持的监测频次，缺试剂时进行报警并停止运行；</w:t>
      </w:r>
    </w:p>
    <w:p w14:paraId="6F9BB6B2">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7、▲具有漏液、漏气自动检测，并立即报警功能；</w:t>
      </w:r>
    </w:p>
    <w:p w14:paraId="4FD05C68">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8、具有仪器健康状态诊断功能；</w:t>
      </w:r>
    </w:p>
    <w:p w14:paraId="770CFA05">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9、▲具有仪器耗材寿命管理及报警功能；</w:t>
      </w:r>
    </w:p>
    <w:p w14:paraId="50D07DB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10、计量单元可提供三个及以上计量体积，检测量程切换更灵活；</w:t>
      </w:r>
    </w:p>
    <w:p w14:paraId="6489ABA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11、▲所有试剂瓶</w:t>
      </w:r>
      <w:r>
        <w:rPr>
          <w:rFonts w:hint="eastAsia" w:ascii="宋体" w:hAnsi="宋体" w:cs="宋体"/>
          <w:b w:val="0"/>
          <w:bCs w:val="0"/>
          <w:kern w:val="2"/>
          <w:sz w:val="24"/>
          <w:szCs w:val="24"/>
          <w:lang w:val="en-US" w:eastAsia="zh-CN"/>
        </w:rPr>
        <w:t>盖</w:t>
      </w:r>
      <w:r>
        <w:rPr>
          <w:rFonts w:hint="eastAsia" w:ascii="宋体" w:hAnsi="宋体" w:eastAsia="宋体" w:cs="宋体"/>
          <w:b w:val="0"/>
          <w:bCs w:val="0"/>
          <w:kern w:val="2"/>
          <w:sz w:val="24"/>
          <w:szCs w:val="24"/>
          <w:lang w:val="en-US" w:eastAsia="zh-CN"/>
        </w:rPr>
        <w:t>都配备有单向阀，可防止试剂瓶内部真空回流；</w:t>
      </w:r>
    </w:p>
    <w:p w14:paraId="695277A5">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12、▲仪器设有门禁，具有密码锁保护功能；</w:t>
      </w:r>
    </w:p>
    <w:p w14:paraId="78B87B3D">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13、▲仪器计量单元采用数字光电计量传感器，不与试剂直接接触，避免试剂腐蚀，计量可靠且维护量小；</w:t>
      </w:r>
    </w:p>
    <w:p w14:paraId="79ACADA1">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14、▲具有智能选择前处理方式和检测方法的功能。</w:t>
      </w:r>
    </w:p>
    <w:p w14:paraId="28B3FDEB">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15、▲仪器计量单元提供两种以上定量方式，步数定量和液位体积定量。</w:t>
      </w:r>
    </w:p>
    <w:p w14:paraId="191588A3">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16、▲仪器计量单元传感器具有光电自平衡功能，具有传感器自动补偿功能</w:t>
      </w:r>
    </w:p>
    <w:p w14:paraId="37123356">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17、▲仪器进样单元可设置任意通道作为进样通道，当某通道</w:t>
      </w:r>
      <w:r>
        <w:rPr>
          <w:rFonts w:hint="eastAsia" w:ascii="宋体" w:hAnsi="宋体" w:cs="宋体"/>
          <w:b w:val="0"/>
          <w:bCs w:val="0"/>
          <w:kern w:val="2"/>
          <w:sz w:val="24"/>
          <w:szCs w:val="24"/>
          <w:lang w:val="en-US" w:eastAsia="zh-CN"/>
        </w:rPr>
        <w:t>损坏</w:t>
      </w:r>
      <w:r>
        <w:rPr>
          <w:rFonts w:hint="eastAsia" w:ascii="宋体" w:hAnsi="宋体" w:eastAsia="宋体" w:cs="宋体"/>
          <w:b w:val="0"/>
          <w:bCs w:val="0"/>
          <w:kern w:val="2"/>
          <w:sz w:val="24"/>
          <w:szCs w:val="24"/>
          <w:lang w:val="en-US" w:eastAsia="zh-CN"/>
        </w:rPr>
        <w:t>，可切换到其他备用通道，保障测试不中断。</w:t>
      </w:r>
    </w:p>
    <w:p w14:paraId="177D2394">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18、▲具备动态扣除浊度、色度的影响，具有抗浊度、抗色度干扰功能</w:t>
      </w:r>
    </w:p>
    <w:p w14:paraId="3DE7AE8A">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19、具备自动/手动(标样核查、零点核查、跨度核查、24h 零点漂移、24h 跨度漂移)、零点校准、标样校准、工作曲线自动标定、加标回收率测试功能</w:t>
      </w:r>
    </w:p>
    <w:p w14:paraId="43C28E64">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20、 ▲仪器进样单元计量管可视化,能够清</w:t>
      </w:r>
      <w:r>
        <w:rPr>
          <w:rFonts w:hint="eastAsia" w:ascii="宋体" w:hAnsi="宋体" w:cs="宋体"/>
          <w:b w:val="0"/>
          <w:bCs w:val="0"/>
          <w:kern w:val="2"/>
          <w:sz w:val="24"/>
          <w:szCs w:val="24"/>
          <w:lang w:val="en-US" w:eastAsia="zh-CN"/>
        </w:rPr>
        <w:t>楚地</w:t>
      </w:r>
      <w:r>
        <w:rPr>
          <w:rFonts w:hint="eastAsia" w:ascii="宋体" w:hAnsi="宋体" w:eastAsia="宋体" w:cs="宋体"/>
          <w:b w:val="0"/>
          <w:bCs w:val="0"/>
          <w:kern w:val="2"/>
          <w:sz w:val="24"/>
          <w:szCs w:val="24"/>
          <w:lang w:val="en-US" w:eastAsia="zh-CN"/>
        </w:rPr>
        <w:t>展示液位管当前状态及洁净程度.</w:t>
      </w:r>
    </w:p>
    <w:p w14:paraId="0577AC7D">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21、 ▲具备对水样管多重清洗功能，减少管路残留吸附。</w:t>
      </w:r>
    </w:p>
    <w:p w14:paraId="13E33766">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22、 ▲进入仪器的样品，可根据实际需求选择润洗次数，可实现多次润洗。</w:t>
      </w:r>
    </w:p>
    <w:p w14:paraId="45FF3D0D">
      <w:pPr>
        <w:keepNext/>
        <w:keepLines/>
        <w:widowControl w:val="0"/>
        <w:bidi w:val="0"/>
        <w:spacing w:before="260" w:beforeLines="0" w:after="260" w:afterLines="0"/>
        <w:jc w:val="both"/>
        <w:outlineLvl w:val="1"/>
        <w:rPr>
          <w:rFonts w:hint="eastAsia" w:ascii="Arial" w:hAnsi="Arial" w:eastAsia="宋体" w:cs="方正仿宋_GBK"/>
          <w:b/>
          <w:kern w:val="2"/>
          <w:sz w:val="24"/>
          <w:szCs w:val="32"/>
          <w:lang w:val="en-US" w:eastAsia="zh-CN" w:bidi="ar-SA"/>
        </w:rPr>
      </w:pPr>
      <w:r>
        <w:rPr>
          <w:rFonts w:hint="eastAsia" w:ascii="Arial" w:hAnsi="Arial" w:eastAsia="宋体" w:cs="方正仿宋_GBK"/>
          <w:b/>
          <w:kern w:val="2"/>
          <w:sz w:val="24"/>
          <w:szCs w:val="32"/>
          <w:lang w:val="en-US" w:eastAsia="zh-CN" w:bidi="ar-SA"/>
        </w:rPr>
        <w:t>（四）常规水质自动分析仪器技术要求</w:t>
      </w:r>
    </w:p>
    <w:p w14:paraId="5028ACF6">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1、五参数水质自动分析仪</w:t>
      </w:r>
    </w:p>
    <w:p w14:paraId="454C867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（1）水温水质自动分析仪</w:t>
      </w:r>
    </w:p>
    <w:tbl>
      <w:tblPr>
        <w:tblStyle w:val="53"/>
        <w:tblW w:w="46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2"/>
        <w:gridCol w:w="4290"/>
      </w:tblGrid>
      <w:tr w14:paraId="5B4B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526" w:type="pct"/>
            <w:tcBorders>
              <w:tl2br w:val="nil"/>
              <w:tr2bl w:val="nil"/>
            </w:tcBorders>
            <w:noWrap w:val="0"/>
            <w:vAlign w:val="center"/>
          </w:tcPr>
          <w:p w14:paraId="50A31EDD">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473" w:type="pct"/>
            <w:tcBorders>
              <w:tl2br w:val="nil"/>
              <w:tr2bl w:val="nil"/>
            </w:tcBorders>
            <w:noWrap w:val="0"/>
            <w:vAlign w:val="center"/>
          </w:tcPr>
          <w:p w14:paraId="0E5BD0F5">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35EE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526" w:type="pct"/>
            <w:tcBorders>
              <w:tl2br w:val="nil"/>
              <w:tr2bl w:val="nil"/>
            </w:tcBorders>
            <w:noWrap w:val="0"/>
            <w:vAlign w:val="center"/>
          </w:tcPr>
          <w:p w14:paraId="5FC2D941">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473" w:type="pct"/>
            <w:tcBorders>
              <w:tl2br w:val="nil"/>
              <w:tr2bl w:val="nil"/>
            </w:tcBorders>
            <w:noWrap w:val="0"/>
            <w:vAlign w:val="center"/>
          </w:tcPr>
          <w:p w14:paraId="2427145F">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热电阻或热电偶</w:t>
            </w:r>
          </w:p>
        </w:tc>
      </w:tr>
      <w:tr w14:paraId="010F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526" w:type="pct"/>
            <w:tcBorders>
              <w:tl2br w:val="nil"/>
              <w:tr2bl w:val="nil"/>
            </w:tcBorders>
            <w:noWrap w:val="0"/>
            <w:vAlign w:val="center"/>
          </w:tcPr>
          <w:p w14:paraId="5BE5BE7B">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2473" w:type="pct"/>
            <w:tcBorders>
              <w:tl2br w:val="nil"/>
              <w:tr2bl w:val="nil"/>
            </w:tcBorders>
            <w:noWrap w:val="0"/>
            <w:vAlign w:val="center"/>
          </w:tcPr>
          <w:p w14:paraId="391042B7">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0℃～60 ℃，可调</w:t>
            </w:r>
          </w:p>
        </w:tc>
      </w:tr>
      <w:tr w14:paraId="04D0A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526" w:type="pct"/>
            <w:tcBorders>
              <w:tl2br w:val="nil"/>
              <w:tr2bl w:val="nil"/>
            </w:tcBorders>
            <w:noWrap w:val="0"/>
            <w:vAlign w:val="center"/>
          </w:tcPr>
          <w:p w14:paraId="5E260EE6">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准确度</w:t>
            </w:r>
          </w:p>
        </w:tc>
        <w:tc>
          <w:tcPr>
            <w:tcW w:w="2473" w:type="pct"/>
            <w:tcBorders>
              <w:tl2br w:val="nil"/>
              <w:tr2bl w:val="nil"/>
            </w:tcBorders>
            <w:noWrap w:val="0"/>
            <w:vAlign w:val="center"/>
          </w:tcPr>
          <w:p w14:paraId="732F9391">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w:t>
            </w:r>
          </w:p>
        </w:tc>
      </w:tr>
      <w:tr w14:paraId="2252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526" w:type="pct"/>
            <w:tcBorders>
              <w:tl2br w:val="nil"/>
              <w:tr2bl w:val="nil"/>
            </w:tcBorders>
            <w:noWrap w:val="0"/>
            <w:vAlign w:val="center"/>
          </w:tcPr>
          <w:p w14:paraId="11D94C22">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2473" w:type="pct"/>
            <w:tcBorders>
              <w:tl2br w:val="nil"/>
              <w:tr2bl w:val="nil"/>
            </w:tcBorders>
            <w:noWrap w:val="0"/>
            <w:vAlign w:val="center"/>
          </w:tcPr>
          <w:p w14:paraId="7E3AA69B">
            <w:pPr>
              <w:spacing w:line="24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≥720 h/次</w:t>
            </w:r>
          </w:p>
        </w:tc>
      </w:tr>
    </w:tbl>
    <w:p w14:paraId="20AFB08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（2）pH水质自动分析仪</w:t>
      </w:r>
    </w:p>
    <w:tbl>
      <w:tblPr>
        <w:tblStyle w:val="53"/>
        <w:tblW w:w="46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345"/>
      </w:tblGrid>
      <w:tr w14:paraId="7FBA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01845A6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487" w:type="pct"/>
            <w:tcBorders>
              <w:tl2br w:val="nil"/>
              <w:tr2bl w:val="nil"/>
            </w:tcBorders>
            <w:noWrap w:val="0"/>
            <w:vAlign w:val="center"/>
          </w:tcPr>
          <w:p w14:paraId="0E2465C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25B6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6F12E26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487" w:type="pct"/>
            <w:tcBorders>
              <w:tl2br w:val="nil"/>
              <w:tr2bl w:val="nil"/>
            </w:tcBorders>
            <w:noWrap w:val="0"/>
            <w:vAlign w:val="center"/>
          </w:tcPr>
          <w:p w14:paraId="149C918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玻璃电极法</w:t>
            </w:r>
          </w:p>
        </w:tc>
      </w:tr>
      <w:tr w14:paraId="4073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2036E74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2487" w:type="pct"/>
            <w:tcBorders>
              <w:tl2br w:val="nil"/>
              <w:tr2bl w:val="nil"/>
            </w:tcBorders>
            <w:noWrap w:val="0"/>
            <w:vAlign w:val="center"/>
          </w:tcPr>
          <w:p w14:paraId="5B2F384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pH 0～14 （0～40 ℃），可调</w:t>
            </w:r>
          </w:p>
        </w:tc>
      </w:tr>
      <w:tr w14:paraId="7565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512" w:type="pct"/>
            <w:tcBorders>
              <w:tl2br w:val="nil"/>
              <w:tr2bl w:val="nil"/>
            </w:tcBorders>
            <w:noWrap w:val="0"/>
            <w:vAlign w:val="center"/>
          </w:tcPr>
          <w:p w14:paraId="5E24714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漂移（pH=4、7、9）</w:t>
            </w:r>
          </w:p>
        </w:tc>
        <w:tc>
          <w:tcPr>
            <w:tcW w:w="2487" w:type="pct"/>
            <w:tcBorders>
              <w:tl2br w:val="nil"/>
              <w:tr2bl w:val="nil"/>
            </w:tcBorders>
            <w:noWrap w:val="0"/>
            <w:vAlign w:val="center"/>
          </w:tcPr>
          <w:p w14:paraId="2F42865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 pH</w:t>
            </w:r>
          </w:p>
        </w:tc>
      </w:tr>
      <w:tr w14:paraId="64E3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3C15C24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2487" w:type="pct"/>
            <w:tcBorders>
              <w:tl2br w:val="nil"/>
              <w:tr2bl w:val="nil"/>
            </w:tcBorders>
            <w:noWrap w:val="0"/>
            <w:vAlign w:val="center"/>
          </w:tcPr>
          <w:p w14:paraId="7387D9D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 pH</w:t>
            </w:r>
          </w:p>
        </w:tc>
      </w:tr>
      <w:tr w14:paraId="297A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2" w:type="pct"/>
            <w:tcBorders>
              <w:tl2br w:val="nil"/>
              <w:tr2bl w:val="nil"/>
            </w:tcBorders>
            <w:noWrap w:val="0"/>
            <w:vAlign w:val="center"/>
          </w:tcPr>
          <w:p w14:paraId="5FAF9A0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响应时间</w:t>
            </w:r>
          </w:p>
        </w:tc>
        <w:tc>
          <w:tcPr>
            <w:tcW w:w="2487" w:type="pct"/>
            <w:tcBorders>
              <w:tl2br w:val="nil"/>
              <w:tr2bl w:val="nil"/>
            </w:tcBorders>
            <w:noWrap w:val="0"/>
            <w:vAlign w:val="center"/>
          </w:tcPr>
          <w:p w14:paraId="365CC73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≤50 s</w:t>
            </w:r>
          </w:p>
        </w:tc>
      </w:tr>
      <w:tr w14:paraId="182CB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6E71F96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温度补偿精度</w:t>
            </w:r>
          </w:p>
        </w:tc>
        <w:tc>
          <w:tcPr>
            <w:tcW w:w="2487" w:type="pct"/>
            <w:tcBorders>
              <w:tl2br w:val="nil"/>
              <w:tr2bl w:val="nil"/>
            </w:tcBorders>
            <w:noWrap w:val="0"/>
            <w:vAlign w:val="center"/>
          </w:tcPr>
          <w:p w14:paraId="39FB8D2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±0.3 pH</w:t>
            </w:r>
          </w:p>
        </w:tc>
      </w:tr>
      <w:tr w14:paraId="649B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2745998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2487" w:type="pct"/>
            <w:tcBorders>
              <w:tl2br w:val="nil"/>
              <w:tr2bl w:val="nil"/>
            </w:tcBorders>
            <w:noWrap w:val="0"/>
            <w:vAlign w:val="center"/>
          </w:tcPr>
          <w:p w14:paraId="2473950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≥720 h/次</w:t>
            </w:r>
          </w:p>
        </w:tc>
      </w:tr>
      <w:tr w14:paraId="2A67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12" w:type="pct"/>
            <w:tcBorders>
              <w:tl2br w:val="nil"/>
              <w:tr2bl w:val="nil"/>
            </w:tcBorders>
            <w:noWrap w:val="0"/>
            <w:vAlign w:val="center"/>
          </w:tcPr>
          <w:p w14:paraId="67A363C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2487" w:type="pct"/>
            <w:tcBorders>
              <w:tl2br w:val="nil"/>
              <w:tr2bl w:val="nil"/>
            </w:tcBorders>
            <w:noWrap w:val="0"/>
            <w:vAlign w:val="center"/>
          </w:tcPr>
          <w:p w14:paraId="725D12E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±0.3 pH</w:t>
            </w:r>
          </w:p>
        </w:tc>
      </w:tr>
      <w:tr w14:paraId="0105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512" w:type="pct"/>
            <w:tcBorders>
              <w:tl2br w:val="nil"/>
              <w:tr2bl w:val="nil"/>
            </w:tcBorders>
            <w:noWrap w:val="0"/>
            <w:vAlign w:val="center"/>
          </w:tcPr>
          <w:p w14:paraId="22060CE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防护等级</w:t>
            </w:r>
          </w:p>
        </w:tc>
        <w:tc>
          <w:tcPr>
            <w:tcW w:w="2487" w:type="pct"/>
            <w:tcBorders>
              <w:tl2br w:val="nil"/>
              <w:tr2bl w:val="nil"/>
            </w:tcBorders>
            <w:noWrap w:val="0"/>
            <w:vAlign w:val="center"/>
          </w:tcPr>
          <w:p w14:paraId="69A2A1F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≥IP65</w:t>
            </w:r>
          </w:p>
        </w:tc>
      </w:tr>
    </w:tbl>
    <w:p w14:paraId="033358B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（3）溶解氧水质自动分析仪</w:t>
      </w:r>
    </w:p>
    <w:tbl>
      <w:tblPr>
        <w:tblStyle w:val="53"/>
        <w:tblW w:w="47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4455"/>
      </w:tblGrid>
      <w:tr w14:paraId="18EB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2496" w:type="pct"/>
            <w:tcBorders>
              <w:tl2br w:val="nil"/>
              <w:tr2bl w:val="nil"/>
            </w:tcBorders>
            <w:noWrap w:val="0"/>
            <w:vAlign w:val="center"/>
          </w:tcPr>
          <w:p w14:paraId="575EE28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503" w:type="pct"/>
            <w:tcBorders>
              <w:tl2br w:val="nil"/>
              <w:tr2bl w:val="nil"/>
            </w:tcBorders>
            <w:noWrap w:val="0"/>
            <w:vAlign w:val="center"/>
          </w:tcPr>
          <w:p w14:paraId="7AA0A3D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14EF0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568EC00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503" w:type="pct"/>
            <w:tcBorders>
              <w:tl2br w:val="nil"/>
              <w:tr2bl w:val="nil"/>
            </w:tcBorders>
            <w:noWrap w:val="0"/>
            <w:vAlign w:val="center"/>
          </w:tcPr>
          <w:p w14:paraId="5E35F7F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电化学法、荧光法</w:t>
            </w:r>
          </w:p>
        </w:tc>
      </w:tr>
      <w:tr w14:paraId="4915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3BDA87E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2503" w:type="pct"/>
            <w:tcBorders>
              <w:tl2br w:val="nil"/>
              <w:tr2bl w:val="nil"/>
            </w:tcBorders>
            <w:noWrap w:val="0"/>
            <w:vAlign w:val="center"/>
          </w:tcPr>
          <w:p w14:paraId="5925403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0～20 mg/L，可调</w:t>
            </w:r>
          </w:p>
        </w:tc>
      </w:tr>
      <w:tr w14:paraId="46EC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7A8832E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2503" w:type="pct"/>
            <w:tcBorders>
              <w:tl2br w:val="nil"/>
              <w:tr2bl w:val="nil"/>
            </w:tcBorders>
            <w:noWrap w:val="0"/>
            <w:vAlign w:val="center"/>
          </w:tcPr>
          <w:p w14:paraId="106A21D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mg/L</w:t>
            </w:r>
          </w:p>
        </w:tc>
      </w:tr>
      <w:tr w14:paraId="0AC8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0DD3FF1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2503" w:type="pct"/>
            <w:tcBorders>
              <w:tl2br w:val="nil"/>
              <w:tr2bl w:val="nil"/>
            </w:tcBorders>
            <w:noWrap w:val="0"/>
            <w:vAlign w:val="center"/>
          </w:tcPr>
          <w:p w14:paraId="50F0CA9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mg/L</w:t>
            </w:r>
          </w:p>
        </w:tc>
      </w:tr>
      <w:tr w14:paraId="77D6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079C693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2503" w:type="pct"/>
            <w:tcBorders>
              <w:tl2br w:val="nil"/>
              <w:tr2bl w:val="nil"/>
            </w:tcBorders>
            <w:noWrap w:val="0"/>
            <w:vAlign w:val="center"/>
          </w:tcPr>
          <w:p w14:paraId="0D14E97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mg/L</w:t>
            </w:r>
          </w:p>
        </w:tc>
      </w:tr>
      <w:tr w14:paraId="73F2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4914C7D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响应时间（T90）</w:t>
            </w:r>
          </w:p>
        </w:tc>
        <w:tc>
          <w:tcPr>
            <w:tcW w:w="2503" w:type="pct"/>
            <w:tcBorders>
              <w:tl2br w:val="nil"/>
              <w:tr2bl w:val="nil"/>
            </w:tcBorders>
            <w:noWrap w:val="0"/>
            <w:vAlign w:val="center"/>
          </w:tcPr>
          <w:p w14:paraId="659389B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≤120 s</w:t>
            </w:r>
          </w:p>
        </w:tc>
      </w:tr>
      <w:tr w14:paraId="35811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6F3ABD5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温度补偿精度</w:t>
            </w:r>
          </w:p>
        </w:tc>
        <w:tc>
          <w:tcPr>
            <w:tcW w:w="2503" w:type="pct"/>
            <w:tcBorders>
              <w:tl2br w:val="nil"/>
              <w:tr2bl w:val="nil"/>
            </w:tcBorders>
            <w:noWrap w:val="0"/>
            <w:vAlign w:val="center"/>
          </w:tcPr>
          <w:p w14:paraId="5294769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mg/L</w:t>
            </w:r>
          </w:p>
        </w:tc>
      </w:tr>
      <w:tr w14:paraId="46CE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48BE8F8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2503" w:type="pct"/>
            <w:tcBorders>
              <w:tl2br w:val="nil"/>
              <w:tr2bl w:val="nil"/>
            </w:tcBorders>
            <w:noWrap w:val="0"/>
            <w:vAlign w:val="center"/>
          </w:tcPr>
          <w:p w14:paraId="0F26C34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≥720 h/次</w:t>
            </w:r>
          </w:p>
        </w:tc>
      </w:tr>
      <w:tr w14:paraId="4D2F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96" w:type="pct"/>
            <w:tcBorders>
              <w:tl2br w:val="nil"/>
              <w:tr2bl w:val="nil"/>
            </w:tcBorders>
            <w:noWrap w:val="0"/>
            <w:vAlign w:val="center"/>
          </w:tcPr>
          <w:p w14:paraId="7FA046D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2503" w:type="pct"/>
            <w:tcBorders>
              <w:tl2br w:val="nil"/>
              <w:tr2bl w:val="nil"/>
            </w:tcBorders>
            <w:noWrap w:val="0"/>
            <w:vAlign w:val="center"/>
          </w:tcPr>
          <w:p w14:paraId="05CDC85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 mg/L</w:t>
            </w:r>
          </w:p>
        </w:tc>
      </w:tr>
      <w:tr w14:paraId="3FF1E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96" w:type="pct"/>
            <w:tcBorders>
              <w:tl2br w:val="nil"/>
              <w:tr2bl w:val="nil"/>
            </w:tcBorders>
            <w:noWrap w:val="0"/>
            <w:vAlign w:val="center"/>
          </w:tcPr>
          <w:p w14:paraId="226BFB9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防护等级</w:t>
            </w:r>
          </w:p>
        </w:tc>
        <w:tc>
          <w:tcPr>
            <w:tcW w:w="2503" w:type="pct"/>
            <w:tcBorders>
              <w:tl2br w:val="nil"/>
              <w:tr2bl w:val="nil"/>
            </w:tcBorders>
            <w:noWrap w:val="0"/>
            <w:vAlign w:val="center"/>
          </w:tcPr>
          <w:p w14:paraId="33A4B34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≥IP65</w:t>
            </w:r>
          </w:p>
        </w:tc>
      </w:tr>
    </w:tbl>
    <w:p w14:paraId="707D61E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（4）电导率水质自动分析仪</w:t>
      </w:r>
    </w:p>
    <w:tbl>
      <w:tblPr>
        <w:tblStyle w:val="53"/>
        <w:tblW w:w="47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7"/>
        <w:gridCol w:w="4458"/>
      </w:tblGrid>
      <w:tr w14:paraId="1A4E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31C1DC3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511" w:type="pct"/>
            <w:tcBorders>
              <w:tl2br w:val="nil"/>
              <w:tr2bl w:val="nil"/>
            </w:tcBorders>
            <w:noWrap w:val="0"/>
            <w:vAlign w:val="center"/>
          </w:tcPr>
          <w:p w14:paraId="00550F1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278B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54B6E2E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511" w:type="pct"/>
            <w:tcBorders>
              <w:tl2br w:val="nil"/>
              <w:tr2bl w:val="nil"/>
            </w:tcBorders>
            <w:noWrap w:val="0"/>
            <w:vAlign w:val="center"/>
          </w:tcPr>
          <w:p w14:paraId="5F80918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电极法</w:t>
            </w:r>
          </w:p>
        </w:tc>
      </w:tr>
      <w:tr w14:paraId="2ACA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632B794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最小检测范围</w:t>
            </w:r>
          </w:p>
        </w:tc>
        <w:tc>
          <w:tcPr>
            <w:tcW w:w="2511" w:type="pct"/>
            <w:tcBorders>
              <w:tl2br w:val="nil"/>
              <w:tr2bl w:val="nil"/>
            </w:tcBorders>
            <w:noWrap w:val="0"/>
            <w:vAlign w:val="center"/>
          </w:tcPr>
          <w:p w14:paraId="728C70F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0～500 mS/m（0～40℃），可调</w:t>
            </w:r>
          </w:p>
        </w:tc>
      </w:tr>
      <w:tr w14:paraId="299FE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678F844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重复性误差</w:t>
            </w:r>
          </w:p>
        </w:tc>
        <w:tc>
          <w:tcPr>
            <w:tcW w:w="2511" w:type="pct"/>
            <w:tcBorders>
              <w:tl2br w:val="nil"/>
              <w:tr2bl w:val="nil"/>
            </w:tcBorders>
            <w:noWrap w:val="0"/>
            <w:vAlign w:val="center"/>
          </w:tcPr>
          <w:p w14:paraId="31B36F6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3DAF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62D7BE6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2511" w:type="pct"/>
            <w:tcBorders>
              <w:tl2br w:val="nil"/>
              <w:tr2bl w:val="nil"/>
            </w:tcBorders>
            <w:noWrap w:val="0"/>
            <w:vAlign w:val="center"/>
          </w:tcPr>
          <w:p w14:paraId="1E60679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0C2CC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32042CA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2511" w:type="pct"/>
            <w:tcBorders>
              <w:tl2br w:val="nil"/>
              <w:tr2bl w:val="nil"/>
            </w:tcBorders>
            <w:noWrap w:val="0"/>
            <w:vAlign w:val="center"/>
          </w:tcPr>
          <w:p w14:paraId="2851952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0C6A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55CA254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响应时间（T90）</w:t>
            </w:r>
          </w:p>
        </w:tc>
        <w:tc>
          <w:tcPr>
            <w:tcW w:w="2511" w:type="pct"/>
            <w:tcBorders>
              <w:tl2br w:val="nil"/>
              <w:tr2bl w:val="nil"/>
            </w:tcBorders>
            <w:noWrap w:val="0"/>
            <w:vAlign w:val="center"/>
          </w:tcPr>
          <w:p w14:paraId="0271B92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≤50s</w:t>
            </w:r>
          </w:p>
        </w:tc>
      </w:tr>
      <w:tr w14:paraId="1342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70607D9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温度补偿精度</w:t>
            </w:r>
          </w:p>
        </w:tc>
        <w:tc>
          <w:tcPr>
            <w:tcW w:w="2511" w:type="pct"/>
            <w:tcBorders>
              <w:tl2br w:val="nil"/>
              <w:tr2bl w:val="nil"/>
            </w:tcBorders>
            <w:noWrap w:val="0"/>
            <w:vAlign w:val="center"/>
          </w:tcPr>
          <w:p w14:paraId="2C872C1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014E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5F5EB79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2511" w:type="pct"/>
            <w:tcBorders>
              <w:tl2br w:val="nil"/>
              <w:tr2bl w:val="nil"/>
            </w:tcBorders>
            <w:noWrap w:val="0"/>
            <w:vAlign w:val="center"/>
          </w:tcPr>
          <w:p w14:paraId="681E549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≥720h/次</w:t>
            </w:r>
          </w:p>
        </w:tc>
      </w:tr>
      <w:tr w14:paraId="28C2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488" w:type="pct"/>
            <w:tcBorders>
              <w:tl2br w:val="nil"/>
              <w:tr2bl w:val="nil"/>
            </w:tcBorders>
            <w:noWrap w:val="0"/>
            <w:vAlign w:val="center"/>
          </w:tcPr>
          <w:p w14:paraId="316F05C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2511" w:type="pct"/>
            <w:tcBorders>
              <w:tl2br w:val="nil"/>
              <w:tr2bl w:val="nil"/>
            </w:tcBorders>
            <w:noWrap w:val="0"/>
            <w:vAlign w:val="center"/>
          </w:tcPr>
          <w:p w14:paraId="237BDBE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0174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488" w:type="pct"/>
            <w:tcBorders>
              <w:tl2br w:val="nil"/>
              <w:tr2bl w:val="nil"/>
            </w:tcBorders>
            <w:noWrap w:val="0"/>
            <w:vAlign w:val="center"/>
          </w:tcPr>
          <w:p w14:paraId="600A07E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防护等级</w:t>
            </w:r>
          </w:p>
        </w:tc>
        <w:tc>
          <w:tcPr>
            <w:tcW w:w="2511" w:type="pct"/>
            <w:tcBorders>
              <w:tl2br w:val="nil"/>
              <w:tr2bl w:val="nil"/>
            </w:tcBorders>
            <w:noWrap w:val="0"/>
            <w:vAlign w:val="center"/>
          </w:tcPr>
          <w:p w14:paraId="3CBEA7D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≥IP65</w:t>
            </w:r>
          </w:p>
        </w:tc>
      </w:tr>
    </w:tbl>
    <w:p w14:paraId="26D03A9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（5）浊度水质自动分析仪</w:t>
      </w:r>
    </w:p>
    <w:tbl>
      <w:tblPr>
        <w:tblStyle w:val="53"/>
        <w:tblW w:w="47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7"/>
        <w:gridCol w:w="4499"/>
      </w:tblGrid>
      <w:tr w14:paraId="74D5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5" w:hRule="atLeast"/>
          <w:tblHeader/>
          <w:jc w:val="center"/>
        </w:trPr>
        <w:tc>
          <w:tcPr>
            <w:tcW w:w="2471" w:type="pct"/>
            <w:tcBorders>
              <w:tl2br w:val="nil"/>
              <w:tr2bl w:val="nil"/>
            </w:tcBorders>
            <w:noWrap w:val="0"/>
            <w:vAlign w:val="center"/>
          </w:tcPr>
          <w:p w14:paraId="67AE2BC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528" w:type="pct"/>
            <w:tcBorders>
              <w:tl2br w:val="nil"/>
              <w:tr2bl w:val="nil"/>
            </w:tcBorders>
            <w:noWrap w:val="0"/>
            <w:vAlign w:val="center"/>
          </w:tcPr>
          <w:p w14:paraId="7D151AF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3B63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2D1CB9D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528" w:type="pct"/>
            <w:tcBorders>
              <w:tl2br w:val="nil"/>
              <w:tr2bl w:val="nil"/>
            </w:tcBorders>
            <w:noWrap w:val="0"/>
            <w:vAlign w:val="center"/>
          </w:tcPr>
          <w:p w14:paraId="07EBB93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光散射法</w:t>
            </w:r>
          </w:p>
        </w:tc>
      </w:tr>
      <w:tr w14:paraId="587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6212D73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2528" w:type="pct"/>
            <w:tcBorders>
              <w:tl2br w:val="nil"/>
              <w:tr2bl w:val="nil"/>
            </w:tcBorders>
            <w:noWrap w:val="0"/>
            <w:vAlign w:val="center"/>
          </w:tcPr>
          <w:p w14:paraId="36F22FE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0～1000NTU，可调</w:t>
            </w:r>
          </w:p>
        </w:tc>
      </w:tr>
      <w:tr w14:paraId="5E36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7AF3BB1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2528" w:type="pct"/>
            <w:tcBorders>
              <w:tl2br w:val="nil"/>
              <w:tr2bl w:val="nil"/>
            </w:tcBorders>
            <w:noWrap w:val="0"/>
            <w:vAlign w:val="center"/>
          </w:tcPr>
          <w:p w14:paraId="6985F60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±8%</w:t>
            </w:r>
          </w:p>
        </w:tc>
      </w:tr>
      <w:tr w14:paraId="38CD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42DB075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2528" w:type="pct"/>
            <w:tcBorders>
              <w:tl2br w:val="nil"/>
              <w:tr2bl w:val="nil"/>
            </w:tcBorders>
            <w:noWrap w:val="0"/>
            <w:vAlign w:val="center"/>
          </w:tcPr>
          <w:p w14:paraId="643B40D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w:t>
            </w:r>
          </w:p>
        </w:tc>
      </w:tr>
      <w:tr w14:paraId="4230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494BA7C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2528" w:type="pct"/>
            <w:tcBorders>
              <w:tl2br w:val="nil"/>
              <w:tr2bl w:val="nil"/>
            </w:tcBorders>
            <w:noWrap w:val="0"/>
            <w:vAlign w:val="center"/>
          </w:tcPr>
          <w:p w14:paraId="1BD92EE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5</w:t>
            </w:r>
            <w:r>
              <w:rPr>
                <w:rFonts w:hint="eastAsia" w:ascii="Times New Roman" w:hAnsi="Times New Roman" w:eastAsia="宋体" w:cs="Times New Roman"/>
                <w:kern w:val="2"/>
                <w:sz w:val="24"/>
                <w:szCs w:val="24"/>
              </w:rPr>
              <w:t>%</w:t>
            </w:r>
          </w:p>
        </w:tc>
      </w:tr>
      <w:tr w14:paraId="0F9E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34B10B1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线性误差</w:t>
            </w:r>
          </w:p>
        </w:tc>
        <w:tc>
          <w:tcPr>
            <w:tcW w:w="2528" w:type="pct"/>
            <w:tcBorders>
              <w:tl2br w:val="nil"/>
              <w:tr2bl w:val="nil"/>
            </w:tcBorders>
            <w:noWrap w:val="0"/>
            <w:vAlign w:val="center"/>
          </w:tcPr>
          <w:p w14:paraId="2CD163D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5</w:t>
            </w:r>
            <w:r>
              <w:rPr>
                <w:rFonts w:hint="eastAsia" w:ascii="Times New Roman" w:hAnsi="Times New Roman" w:eastAsia="宋体" w:cs="Times New Roman"/>
                <w:kern w:val="2"/>
                <w:sz w:val="24"/>
                <w:szCs w:val="24"/>
              </w:rPr>
              <w:t>%</w:t>
            </w:r>
          </w:p>
        </w:tc>
      </w:tr>
      <w:tr w14:paraId="5075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71" w:type="pct"/>
            <w:tcBorders>
              <w:tl2br w:val="nil"/>
              <w:tr2bl w:val="nil"/>
            </w:tcBorders>
            <w:noWrap w:val="0"/>
            <w:vAlign w:val="center"/>
          </w:tcPr>
          <w:p w14:paraId="4D903E9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2528" w:type="pct"/>
            <w:tcBorders>
              <w:tl2br w:val="nil"/>
              <w:tr2bl w:val="nil"/>
            </w:tcBorders>
            <w:noWrap w:val="0"/>
            <w:vAlign w:val="center"/>
          </w:tcPr>
          <w:p w14:paraId="651C249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≥720h/次</w:t>
            </w:r>
          </w:p>
        </w:tc>
      </w:tr>
      <w:tr w14:paraId="6166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1" w:type="pct"/>
            <w:tcBorders>
              <w:tl2br w:val="nil"/>
              <w:tr2bl w:val="nil"/>
            </w:tcBorders>
            <w:noWrap w:val="0"/>
            <w:vAlign w:val="center"/>
          </w:tcPr>
          <w:p w14:paraId="223B2F3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2528" w:type="pct"/>
            <w:tcBorders>
              <w:tl2br w:val="nil"/>
              <w:tr2bl w:val="nil"/>
            </w:tcBorders>
            <w:noWrap w:val="0"/>
            <w:vAlign w:val="center"/>
          </w:tcPr>
          <w:p w14:paraId="299F3F7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±10%</w:t>
            </w:r>
          </w:p>
        </w:tc>
      </w:tr>
      <w:tr w14:paraId="419A5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471" w:type="pct"/>
            <w:tcBorders>
              <w:tl2br w:val="nil"/>
              <w:tr2bl w:val="nil"/>
            </w:tcBorders>
            <w:noWrap w:val="0"/>
            <w:vAlign w:val="center"/>
          </w:tcPr>
          <w:p w14:paraId="65D6921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防护等级</w:t>
            </w:r>
          </w:p>
        </w:tc>
        <w:tc>
          <w:tcPr>
            <w:tcW w:w="2528" w:type="pct"/>
            <w:tcBorders>
              <w:tl2br w:val="nil"/>
              <w:tr2bl w:val="nil"/>
            </w:tcBorders>
            <w:noWrap w:val="0"/>
            <w:vAlign w:val="center"/>
          </w:tcPr>
          <w:p w14:paraId="75B6487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≥IP65</w:t>
            </w:r>
          </w:p>
        </w:tc>
      </w:tr>
    </w:tbl>
    <w:p w14:paraId="1833F2E8">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2、氨氮水质自动分析仪</w:t>
      </w:r>
    </w:p>
    <w:tbl>
      <w:tblPr>
        <w:tblStyle w:val="53"/>
        <w:tblW w:w="4868" w:type="pct"/>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80"/>
        <w:gridCol w:w="2401"/>
        <w:gridCol w:w="2170"/>
      </w:tblGrid>
      <w:tr w14:paraId="5B9CC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18874A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F1086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73E3B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47832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45CBA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水杨酸分光光度法</w:t>
            </w:r>
          </w:p>
        </w:tc>
      </w:tr>
      <w:tr w14:paraId="58359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8BA6B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44DEA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0～10 mg/L，可调</w:t>
            </w:r>
          </w:p>
        </w:tc>
      </w:tr>
      <w:tr w14:paraId="32F66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0EF926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62700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≤0.05 mg/L</w:t>
            </w:r>
          </w:p>
        </w:tc>
      </w:tr>
      <w:tr w14:paraId="0CFA2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CC45E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8A6BB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≤8.0%</w:t>
            </w:r>
          </w:p>
        </w:tc>
      </w:tr>
      <w:tr w14:paraId="7E2C2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D5E395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示值误差</w:t>
            </w:r>
          </w:p>
        </w:tc>
        <w:tc>
          <w:tcPr>
            <w:tcW w:w="134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79E5F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标液浓度为 2.0 mg/L 时</w:t>
            </w:r>
          </w:p>
        </w:tc>
        <w:tc>
          <w:tcPr>
            <w:tcW w:w="12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8AC83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xml:space="preserve">± </w:t>
            </w:r>
            <w:r>
              <w:rPr>
                <w:rFonts w:hint="eastAsia" w:ascii="Times New Roman" w:hAnsi="Times New Roman" w:eastAsia="宋体" w:cs="Times New Roman"/>
                <w:kern w:val="2"/>
                <w:sz w:val="24"/>
                <w:szCs w:val="24"/>
                <w:lang w:val="en-US" w:eastAsia="zh-CN"/>
              </w:rPr>
              <w:t>5</w:t>
            </w:r>
            <w:r>
              <w:rPr>
                <w:rFonts w:hint="eastAsia" w:ascii="Times New Roman" w:hAnsi="Times New Roman" w:eastAsia="宋体" w:cs="Times New Roman"/>
                <w:kern w:val="2"/>
                <w:sz w:val="24"/>
                <w:szCs w:val="24"/>
              </w:rPr>
              <w:t>.0%</w:t>
            </w:r>
          </w:p>
        </w:tc>
      </w:tr>
      <w:tr w14:paraId="5EBAF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6B2DE2">
            <w:pPr>
              <w:spacing w:line="360" w:lineRule="auto"/>
              <w:rPr>
                <w:rFonts w:hint="eastAsia" w:ascii="Times New Roman" w:hAnsi="Times New Roman" w:eastAsia="宋体" w:cs="Times New Roman"/>
                <w:kern w:val="2"/>
                <w:sz w:val="24"/>
                <w:szCs w:val="24"/>
              </w:rPr>
            </w:pPr>
          </w:p>
        </w:tc>
        <w:tc>
          <w:tcPr>
            <w:tcW w:w="134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A3945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标液浓度为 5.0 mg/L 时</w:t>
            </w:r>
          </w:p>
        </w:tc>
        <w:tc>
          <w:tcPr>
            <w:tcW w:w="12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378E2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xml:space="preserve">± </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rPr>
              <w:t>.0%</w:t>
            </w:r>
          </w:p>
        </w:tc>
      </w:tr>
      <w:tr w14:paraId="17B15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20A26F">
            <w:pPr>
              <w:spacing w:line="360" w:lineRule="auto"/>
              <w:rPr>
                <w:rFonts w:hint="eastAsia" w:ascii="Times New Roman" w:hAnsi="Times New Roman" w:eastAsia="宋体" w:cs="Times New Roman"/>
                <w:kern w:val="2"/>
                <w:sz w:val="24"/>
                <w:szCs w:val="24"/>
              </w:rPr>
            </w:pPr>
          </w:p>
        </w:tc>
        <w:tc>
          <w:tcPr>
            <w:tcW w:w="134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60F92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标液浓度为 8.0 mg/L 时</w:t>
            </w:r>
          </w:p>
        </w:tc>
        <w:tc>
          <w:tcPr>
            <w:tcW w:w="12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0F491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3.0%</w:t>
            </w:r>
          </w:p>
        </w:tc>
      </w:tr>
      <w:tr w14:paraId="4A155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F752E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BC53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≤5.0%</w:t>
            </w:r>
          </w:p>
        </w:tc>
      </w:tr>
      <w:tr w14:paraId="55902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1691EC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记忆效应</w:t>
            </w:r>
          </w:p>
        </w:tc>
        <w:tc>
          <w:tcPr>
            <w:tcW w:w="134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F73AB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标液浓度为 2.0 mg/L 时</w:t>
            </w:r>
          </w:p>
        </w:tc>
        <w:tc>
          <w:tcPr>
            <w:tcW w:w="12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E2F92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0.</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rPr>
              <w:t xml:space="preserve"> mg/L</w:t>
            </w:r>
          </w:p>
        </w:tc>
      </w:tr>
      <w:tr w14:paraId="462DB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4B6CDE">
            <w:pPr>
              <w:spacing w:line="360" w:lineRule="auto"/>
              <w:rPr>
                <w:rFonts w:hint="eastAsia" w:ascii="Times New Roman" w:hAnsi="Times New Roman" w:eastAsia="宋体" w:cs="Times New Roman"/>
                <w:kern w:val="2"/>
                <w:sz w:val="24"/>
                <w:szCs w:val="24"/>
              </w:rPr>
            </w:pPr>
          </w:p>
        </w:tc>
        <w:tc>
          <w:tcPr>
            <w:tcW w:w="134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E06A4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标液浓度为 8.0 mg/L 时</w:t>
            </w:r>
          </w:p>
        </w:tc>
        <w:tc>
          <w:tcPr>
            <w:tcW w:w="121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21BFE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0.</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rPr>
              <w:t xml:space="preserve"> mg/L</w:t>
            </w:r>
          </w:p>
        </w:tc>
      </w:tr>
      <w:tr w14:paraId="2B47F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2935D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检出限</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0B7334D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≤0.0</w:t>
            </w:r>
            <w:r>
              <w:rPr>
                <w:rFonts w:hint="eastAsia" w:ascii="Times New Roman" w:hAnsi="Times New Roman" w:eastAsia="宋体" w:cs="Times New Roman"/>
                <w:kern w:val="2"/>
                <w:sz w:val="24"/>
                <w:szCs w:val="24"/>
                <w:lang w:val="en-US" w:eastAsia="zh-CN"/>
              </w:rPr>
              <w:t>1</w:t>
            </w:r>
            <w:r>
              <w:rPr>
                <w:rFonts w:hint="eastAsia" w:ascii="Times New Roman" w:hAnsi="Times New Roman" w:eastAsia="宋体" w:cs="Times New Roman"/>
                <w:kern w:val="2"/>
                <w:sz w:val="24"/>
                <w:szCs w:val="24"/>
              </w:rPr>
              <w:t>mg/L</w:t>
            </w:r>
          </w:p>
        </w:tc>
      </w:tr>
      <w:tr w14:paraId="49AFA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FA642E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pH 干扰试验</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EB077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 xml:space="preserve">± </w:t>
            </w:r>
            <w:r>
              <w:rPr>
                <w:rFonts w:hint="eastAsia" w:ascii="Times New Roman" w:hAnsi="Times New Roman" w:eastAsia="宋体" w:cs="Times New Roman"/>
                <w:kern w:val="2"/>
                <w:sz w:val="24"/>
                <w:szCs w:val="24"/>
                <w:lang w:val="en-US" w:eastAsia="zh-CN"/>
              </w:rPr>
              <w:t>4</w:t>
            </w:r>
            <w:r>
              <w:rPr>
                <w:rFonts w:hint="eastAsia" w:ascii="Times New Roman" w:hAnsi="Times New Roman" w:eastAsia="宋体" w:cs="Times New Roman"/>
                <w:kern w:val="2"/>
                <w:sz w:val="24"/>
                <w:szCs w:val="24"/>
              </w:rPr>
              <w:t>.0%</w:t>
            </w:r>
          </w:p>
        </w:tc>
      </w:tr>
      <w:tr w14:paraId="500F2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BCFB0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335CB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参照《地表水自动监测技术规范(试行)》(HJ</w:t>
            </w:r>
            <w:r>
              <w:rPr>
                <w:rFonts w:hint="eastAsia" w:ascii="Times New Roman" w:hAnsi="Times New Roman" w:eastAsia="宋体" w:cs="Times New Roman"/>
                <w:kern w:val="2"/>
                <w:sz w:val="24"/>
                <w:szCs w:val="24"/>
                <w:lang w:val="en-US" w:eastAsia="zh-CN"/>
              </w:rPr>
              <w:t xml:space="preserve"> </w:t>
            </w:r>
            <w:r>
              <w:rPr>
                <w:rFonts w:hint="eastAsia" w:ascii="Times New Roman" w:hAnsi="Times New Roman" w:eastAsia="宋体" w:cs="Times New Roman"/>
                <w:kern w:val="2"/>
                <w:sz w:val="24"/>
                <w:szCs w:val="24"/>
              </w:rPr>
              <w:t>915-2017)规范实施</w:t>
            </w:r>
          </w:p>
        </w:tc>
      </w:tr>
      <w:tr w14:paraId="0789B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trPr>
        <w:tc>
          <w:tcPr>
            <w:tcW w:w="244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E9CEC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最小维护周期</w:t>
            </w:r>
          </w:p>
        </w:tc>
        <w:tc>
          <w:tcPr>
            <w:tcW w:w="2553" w:type="pct"/>
            <w:gridSpan w:val="2"/>
            <w:tcBorders>
              <w:top w:val="single" w:color="auto" w:sz="4" w:space="0"/>
              <w:left w:val="single" w:color="auto" w:sz="4" w:space="0"/>
              <w:bottom w:val="single" w:color="auto" w:sz="4" w:space="0"/>
              <w:right w:val="single" w:color="auto" w:sz="4" w:space="0"/>
            </w:tcBorders>
            <w:shd w:val="clear" w:color="auto" w:fill="FFFFFF"/>
            <w:noWrap w:val="0"/>
            <w:vAlign w:val="center"/>
          </w:tcPr>
          <w:p w14:paraId="47E0543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≥168h</w:t>
            </w:r>
          </w:p>
        </w:tc>
      </w:tr>
    </w:tbl>
    <w:p w14:paraId="230CC898">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3、高锰酸盐指数水质自动分析仪</w:t>
      </w:r>
    </w:p>
    <w:tbl>
      <w:tblPr>
        <w:tblStyle w:val="53"/>
        <w:tblW w:w="88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30"/>
        <w:gridCol w:w="4529"/>
      </w:tblGrid>
      <w:tr w14:paraId="67C92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330" w:type="dxa"/>
            <w:shd w:val="clear" w:color="auto" w:fill="FFFFFF"/>
            <w:noWrap w:val="0"/>
            <w:vAlign w:val="center"/>
          </w:tcPr>
          <w:p w14:paraId="61EDFEB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4529" w:type="dxa"/>
            <w:shd w:val="clear" w:color="auto" w:fill="FFFFFF"/>
            <w:noWrap w:val="0"/>
            <w:vAlign w:val="center"/>
          </w:tcPr>
          <w:p w14:paraId="5A6D563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6B894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330" w:type="dxa"/>
            <w:shd w:val="clear" w:color="auto" w:fill="FFFFFF"/>
            <w:noWrap w:val="0"/>
            <w:vAlign w:val="center"/>
          </w:tcPr>
          <w:p w14:paraId="15E9500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4529" w:type="dxa"/>
            <w:shd w:val="clear" w:color="auto" w:fill="FFFFFF"/>
            <w:noWrap w:val="0"/>
            <w:vAlign w:val="center"/>
          </w:tcPr>
          <w:p w14:paraId="0D964C1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高锰酸钾氧化法</w:t>
            </w:r>
          </w:p>
        </w:tc>
      </w:tr>
      <w:tr w14:paraId="2D02F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380B95B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4529" w:type="dxa"/>
            <w:shd w:val="clear" w:color="auto" w:fill="FFFFFF"/>
            <w:noWrap w:val="0"/>
            <w:vAlign w:val="center"/>
          </w:tcPr>
          <w:p w14:paraId="28B19CF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0～20mg/L，可调</w:t>
            </w:r>
          </w:p>
        </w:tc>
      </w:tr>
      <w:tr w14:paraId="7607A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393C88A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4529" w:type="dxa"/>
            <w:shd w:val="clear" w:color="auto" w:fill="FFFFFF"/>
            <w:noWrap w:val="0"/>
            <w:vAlign w:val="center"/>
          </w:tcPr>
          <w:p w14:paraId="15181C7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rPr>
              <w:t>%</w:t>
            </w:r>
          </w:p>
        </w:tc>
      </w:tr>
      <w:tr w14:paraId="28C45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73621DB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4529" w:type="dxa"/>
            <w:shd w:val="clear" w:color="auto" w:fill="FFFFFF"/>
            <w:noWrap w:val="0"/>
            <w:vAlign w:val="center"/>
          </w:tcPr>
          <w:p w14:paraId="0698FBB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4</w:t>
            </w:r>
            <w:r>
              <w:rPr>
                <w:rFonts w:hint="eastAsia" w:ascii="Times New Roman" w:hAnsi="Times New Roman" w:eastAsia="宋体" w:cs="Times New Roman"/>
                <w:kern w:val="2"/>
                <w:sz w:val="24"/>
                <w:szCs w:val="24"/>
              </w:rPr>
              <w:t>%</w:t>
            </w:r>
          </w:p>
        </w:tc>
      </w:tr>
      <w:tr w14:paraId="607FC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3140DAD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葡萄糖试验</w:t>
            </w:r>
          </w:p>
        </w:tc>
        <w:tc>
          <w:tcPr>
            <w:tcW w:w="4529" w:type="dxa"/>
            <w:shd w:val="clear" w:color="auto" w:fill="FFFFFF"/>
            <w:noWrap w:val="0"/>
            <w:vAlign w:val="center"/>
          </w:tcPr>
          <w:p w14:paraId="402A19D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rPr>
              <w:t>%（测量误差）</w:t>
            </w:r>
          </w:p>
        </w:tc>
      </w:tr>
      <w:tr w14:paraId="3FFE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3C5C473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4529" w:type="dxa"/>
            <w:shd w:val="clear" w:color="auto" w:fill="FFFFFF"/>
            <w:noWrap w:val="0"/>
            <w:vAlign w:val="center"/>
          </w:tcPr>
          <w:p w14:paraId="45E0F2E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3</w:t>
            </w:r>
            <w:r>
              <w:rPr>
                <w:rFonts w:hint="eastAsia" w:ascii="Times New Roman" w:hAnsi="Times New Roman" w:eastAsia="宋体" w:cs="Times New Roman"/>
                <w:kern w:val="2"/>
                <w:sz w:val="24"/>
                <w:szCs w:val="24"/>
              </w:rPr>
              <w:t>%</w:t>
            </w:r>
          </w:p>
        </w:tc>
      </w:tr>
      <w:tr w14:paraId="4044F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330" w:type="dxa"/>
            <w:shd w:val="clear" w:color="auto" w:fill="FFFFFF"/>
            <w:noWrap w:val="0"/>
            <w:vAlign w:val="center"/>
          </w:tcPr>
          <w:p w14:paraId="4C846DA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检出限</w:t>
            </w:r>
          </w:p>
        </w:tc>
        <w:tc>
          <w:tcPr>
            <w:tcW w:w="4529" w:type="dxa"/>
            <w:shd w:val="clear" w:color="auto" w:fill="FFFFFF"/>
            <w:noWrap w:val="0"/>
            <w:vAlign w:val="center"/>
          </w:tcPr>
          <w:p w14:paraId="7F89DC2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≤0.5mg/L</w:t>
            </w:r>
          </w:p>
        </w:tc>
      </w:tr>
      <w:tr w14:paraId="1708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330" w:type="dxa"/>
            <w:shd w:val="clear" w:color="auto" w:fill="FFFFFF"/>
            <w:noWrap w:val="0"/>
            <w:vAlign w:val="center"/>
          </w:tcPr>
          <w:p w14:paraId="418417B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4529" w:type="dxa"/>
            <w:shd w:val="clear" w:color="auto" w:fill="FFFFFF"/>
            <w:noWrap w:val="0"/>
            <w:vAlign w:val="center"/>
          </w:tcPr>
          <w:p w14:paraId="09DD4F7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1440</w:t>
            </w:r>
            <w:r>
              <w:rPr>
                <w:rFonts w:hint="eastAsia" w:ascii="Times New Roman" w:hAnsi="Times New Roman" w:eastAsia="宋体" w:cs="Times New Roman"/>
                <w:kern w:val="2"/>
                <w:sz w:val="24"/>
                <w:szCs w:val="24"/>
              </w:rPr>
              <w:t xml:space="preserve"> h/次</w:t>
            </w:r>
          </w:p>
        </w:tc>
      </w:tr>
      <w:tr w14:paraId="03A08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4330" w:type="dxa"/>
            <w:shd w:val="clear" w:color="auto" w:fill="FFFFFF"/>
            <w:noWrap w:val="0"/>
            <w:vAlign w:val="center"/>
          </w:tcPr>
          <w:p w14:paraId="78EA5F5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4529" w:type="dxa"/>
            <w:shd w:val="clear" w:color="auto" w:fill="FFFFFF"/>
            <w:noWrap w:val="0"/>
            <w:vAlign w:val="center"/>
          </w:tcPr>
          <w:p w14:paraId="185FFC2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±10%</w:t>
            </w:r>
          </w:p>
        </w:tc>
      </w:tr>
    </w:tbl>
    <w:p w14:paraId="49622086">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4、总磷水质自动分析仪</w:t>
      </w:r>
    </w:p>
    <w:tbl>
      <w:tblPr>
        <w:tblStyle w:val="53"/>
        <w:tblW w:w="87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6"/>
        <w:gridCol w:w="4471"/>
      </w:tblGrid>
      <w:tr w14:paraId="46DBF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01578E1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4471" w:type="dxa"/>
            <w:shd w:val="clear" w:color="auto" w:fill="FFFFFF"/>
            <w:noWrap w:val="0"/>
            <w:vAlign w:val="center"/>
          </w:tcPr>
          <w:p w14:paraId="41C7A33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38B20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331CC15E">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4471" w:type="dxa"/>
            <w:shd w:val="clear" w:color="auto" w:fill="FFFFFF"/>
            <w:noWrap w:val="0"/>
            <w:vAlign w:val="center"/>
          </w:tcPr>
          <w:p w14:paraId="741D315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钼酸铵分光光度法</w:t>
            </w:r>
          </w:p>
        </w:tc>
      </w:tr>
      <w:tr w14:paraId="46485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4246" w:type="dxa"/>
            <w:shd w:val="clear" w:color="auto" w:fill="FFFFFF"/>
            <w:noWrap w:val="0"/>
            <w:vAlign w:val="center"/>
          </w:tcPr>
          <w:p w14:paraId="2C0BCF8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4471" w:type="dxa"/>
            <w:shd w:val="clear" w:color="auto" w:fill="FFFFFF"/>
            <w:noWrap w:val="0"/>
            <w:vAlign w:val="center"/>
          </w:tcPr>
          <w:p w14:paraId="4BEE9B8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0～2mg/L，可调</w:t>
            </w:r>
          </w:p>
        </w:tc>
      </w:tr>
      <w:tr w14:paraId="6BA36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4246" w:type="dxa"/>
            <w:shd w:val="clear" w:color="auto" w:fill="FFFFFF"/>
            <w:noWrap w:val="0"/>
            <w:vAlign w:val="center"/>
          </w:tcPr>
          <w:p w14:paraId="6FBA32D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4471" w:type="dxa"/>
            <w:shd w:val="clear" w:color="auto" w:fill="FFFFFF"/>
            <w:noWrap w:val="0"/>
            <w:vAlign w:val="center"/>
          </w:tcPr>
          <w:p w14:paraId="529F48F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4DCA9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293BD76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4471" w:type="dxa"/>
            <w:shd w:val="clear" w:color="auto" w:fill="FFFFFF"/>
            <w:noWrap w:val="0"/>
            <w:vAlign w:val="center"/>
          </w:tcPr>
          <w:p w14:paraId="6453A8E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60603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6732874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直线性</w:t>
            </w:r>
          </w:p>
        </w:tc>
        <w:tc>
          <w:tcPr>
            <w:tcW w:w="4471" w:type="dxa"/>
            <w:shd w:val="clear" w:color="auto" w:fill="FFFFFF"/>
            <w:noWrap w:val="0"/>
            <w:vAlign w:val="center"/>
          </w:tcPr>
          <w:p w14:paraId="52C4074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5</w:t>
            </w:r>
            <w:r>
              <w:rPr>
                <w:rFonts w:hint="eastAsia" w:ascii="Times New Roman" w:hAnsi="Times New Roman" w:eastAsia="宋体" w:cs="Times New Roman"/>
                <w:kern w:val="2"/>
                <w:sz w:val="24"/>
                <w:szCs w:val="24"/>
              </w:rPr>
              <w:t>%</w:t>
            </w:r>
          </w:p>
        </w:tc>
      </w:tr>
      <w:tr w14:paraId="0CD34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08B42A7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4471" w:type="dxa"/>
            <w:shd w:val="clear" w:color="auto" w:fill="FFFFFF"/>
            <w:noWrap w:val="0"/>
            <w:vAlign w:val="center"/>
          </w:tcPr>
          <w:p w14:paraId="23EABA0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27C86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7CAB39DD">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检出限</w:t>
            </w:r>
          </w:p>
        </w:tc>
        <w:tc>
          <w:tcPr>
            <w:tcW w:w="4471" w:type="dxa"/>
            <w:shd w:val="clear" w:color="auto" w:fill="FFFFFF"/>
            <w:noWrap w:val="0"/>
            <w:vAlign w:val="center"/>
          </w:tcPr>
          <w:p w14:paraId="6DC42209">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≤0.0</w:t>
            </w:r>
            <w:r>
              <w:rPr>
                <w:rFonts w:hint="eastAsia" w:ascii="Times New Roman" w:hAnsi="Times New Roman" w:eastAsia="宋体" w:cs="Times New Roman"/>
                <w:kern w:val="2"/>
                <w:sz w:val="24"/>
                <w:szCs w:val="24"/>
                <w:lang w:val="en-US" w:eastAsia="zh-CN"/>
              </w:rPr>
              <w:t>05</w:t>
            </w:r>
            <w:r>
              <w:rPr>
                <w:rFonts w:hint="eastAsia" w:ascii="Times New Roman" w:hAnsi="Times New Roman" w:eastAsia="宋体" w:cs="Times New Roman"/>
                <w:kern w:val="2"/>
                <w:sz w:val="24"/>
                <w:szCs w:val="24"/>
              </w:rPr>
              <w:t>mg/L</w:t>
            </w:r>
          </w:p>
        </w:tc>
      </w:tr>
      <w:tr w14:paraId="52787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246" w:type="dxa"/>
            <w:shd w:val="clear" w:color="auto" w:fill="FFFFFF"/>
            <w:noWrap w:val="0"/>
            <w:vAlign w:val="center"/>
          </w:tcPr>
          <w:p w14:paraId="174DDCE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4471" w:type="dxa"/>
            <w:shd w:val="clear" w:color="auto" w:fill="FFFFFF"/>
            <w:noWrap w:val="0"/>
            <w:vAlign w:val="center"/>
          </w:tcPr>
          <w:p w14:paraId="15EA0D7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144</w:t>
            </w:r>
            <w:r>
              <w:rPr>
                <w:rFonts w:hint="eastAsia" w:ascii="Times New Roman" w:hAnsi="Times New Roman" w:eastAsia="宋体" w:cs="Times New Roman"/>
                <w:kern w:val="2"/>
                <w:sz w:val="24"/>
                <w:szCs w:val="24"/>
              </w:rPr>
              <w:t>0h/次</w:t>
            </w:r>
          </w:p>
        </w:tc>
      </w:tr>
      <w:tr w14:paraId="0BF18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shd w:val="clear" w:color="auto" w:fill="FFFFFF"/>
            <w:noWrap w:val="0"/>
            <w:vAlign w:val="center"/>
          </w:tcPr>
          <w:p w14:paraId="388DE26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4471" w:type="dxa"/>
            <w:shd w:val="clear" w:color="auto" w:fill="FFFFFF"/>
            <w:noWrap w:val="0"/>
            <w:vAlign w:val="center"/>
          </w:tcPr>
          <w:p w14:paraId="706A7A6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参照《地表水自动监测技术规范(试行)》(HJ</w:t>
            </w:r>
            <w:r>
              <w:rPr>
                <w:rFonts w:hint="eastAsia" w:ascii="Times New Roman" w:hAnsi="Times New Roman" w:eastAsia="宋体" w:cs="Times New Roman"/>
                <w:kern w:val="2"/>
                <w:sz w:val="24"/>
                <w:szCs w:val="24"/>
                <w:lang w:val="en-US" w:eastAsia="zh-CN"/>
              </w:rPr>
              <w:t xml:space="preserve"> </w:t>
            </w:r>
            <w:r>
              <w:rPr>
                <w:rFonts w:hint="eastAsia" w:ascii="Times New Roman" w:hAnsi="Times New Roman" w:eastAsia="宋体" w:cs="Times New Roman"/>
                <w:kern w:val="2"/>
                <w:sz w:val="24"/>
                <w:szCs w:val="24"/>
              </w:rPr>
              <w:t>915-2017)规范实施</w:t>
            </w:r>
          </w:p>
        </w:tc>
      </w:tr>
      <w:tr w14:paraId="4F2C9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246" w:type="dxa"/>
            <w:noWrap w:val="0"/>
            <w:vAlign w:val="center"/>
          </w:tcPr>
          <w:p w14:paraId="301B7F1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rPr>
              <w:t>抗浊度干扰</w:t>
            </w:r>
          </w:p>
        </w:tc>
        <w:tc>
          <w:tcPr>
            <w:tcW w:w="4471" w:type="dxa"/>
            <w:noWrap w:val="0"/>
            <w:vAlign w:val="top"/>
          </w:tcPr>
          <w:p w14:paraId="3E80488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应具备抗浊度干扰，需对不同浊度的水体进行测试，测试样本数不少于15个，抗浊度干扰功能能够达到相应的效果，在浊度为100NTU-350NTU时与实验室数据相对偏差不超过15%，需提供监测报告或相关测试证明材料。</w:t>
            </w:r>
          </w:p>
        </w:tc>
      </w:tr>
    </w:tbl>
    <w:p w14:paraId="7B93684A">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5、总氮水质自动分析仪</w:t>
      </w:r>
    </w:p>
    <w:tbl>
      <w:tblPr>
        <w:tblStyle w:val="53"/>
        <w:tblW w:w="86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98"/>
        <w:gridCol w:w="4423"/>
      </w:tblGrid>
      <w:tr w14:paraId="358E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0FCA47F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项目</w:t>
            </w:r>
          </w:p>
        </w:tc>
        <w:tc>
          <w:tcPr>
            <w:tcW w:w="4423" w:type="dxa"/>
            <w:shd w:val="clear" w:color="auto" w:fill="FFFFFF"/>
            <w:noWrap w:val="0"/>
            <w:vAlign w:val="center"/>
          </w:tcPr>
          <w:p w14:paraId="4D87BB0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技术指标</w:t>
            </w:r>
          </w:p>
        </w:tc>
      </w:tr>
      <w:tr w14:paraId="79A8B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10319CD3">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测定原理</w:t>
            </w:r>
          </w:p>
        </w:tc>
        <w:tc>
          <w:tcPr>
            <w:tcW w:w="4423" w:type="dxa"/>
            <w:shd w:val="clear" w:color="auto" w:fill="FFFFFF"/>
            <w:noWrap w:val="0"/>
            <w:vAlign w:val="center"/>
          </w:tcPr>
          <w:p w14:paraId="1FD8D0AC">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过硫酸钾消解-紫外分光光度法</w:t>
            </w:r>
          </w:p>
        </w:tc>
      </w:tr>
      <w:tr w14:paraId="629A9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249A4DBA">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w:t>
            </w:r>
          </w:p>
        </w:tc>
        <w:tc>
          <w:tcPr>
            <w:tcW w:w="4423" w:type="dxa"/>
            <w:shd w:val="clear" w:color="auto" w:fill="FFFFFF"/>
            <w:noWrap w:val="0"/>
            <w:vAlign w:val="center"/>
          </w:tcPr>
          <w:p w14:paraId="6235476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0～20mg/L，可调</w:t>
            </w:r>
          </w:p>
        </w:tc>
      </w:tr>
      <w:tr w14:paraId="7E8DD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198" w:type="dxa"/>
            <w:shd w:val="clear" w:color="auto" w:fill="FFFFFF"/>
            <w:noWrap w:val="0"/>
            <w:vAlign w:val="center"/>
          </w:tcPr>
          <w:p w14:paraId="0F1E58E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零点漂移</w:t>
            </w:r>
          </w:p>
        </w:tc>
        <w:tc>
          <w:tcPr>
            <w:tcW w:w="4423" w:type="dxa"/>
            <w:shd w:val="clear" w:color="auto" w:fill="FFFFFF"/>
            <w:noWrap w:val="0"/>
            <w:vAlign w:val="center"/>
          </w:tcPr>
          <w:p w14:paraId="7BA0BBCF">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5266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61BF4F50">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量程漂移</w:t>
            </w:r>
          </w:p>
        </w:tc>
        <w:tc>
          <w:tcPr>
            <w:tcW w:w="4423" w:type="dxa"/>
            <w:shd w:val="clear" w:color="auto" w:fill="FFFFFF"/>
            <w:noWrap w:val="0"/>
            <w:vAlign w:val="center"/>
          </w:tcPr>
          <w:p w14:paraId="1046E7E7">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3F14C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7B2DFF4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直线性</w:t>
            </w:r>
          </w:p>
        </w:tc>
        <w:tc>
          <w:tcPr>
            <w:tcW w:w="4423" w:type="dxa"/>
            <w:shd w:val="clear" w:color="auto" w:fill="FFFFFF"/>
            <w:noWrap w:val="0"/>
            <w:vAlign w:val="center"/>
          </w:tcPr>
          <w:p w14:paraId="0D807DC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59EA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4198" w:type="dxa"/>
            <w:shd w:val="clear" w:color="auto" w:fill="FFFFFF"/>
            <w:noWrap w:val="0"/>
            <w:vAlign w:val="center"/>
          </w:tcPr>
          <w:p w14:paraId="465CF845">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重复性</w:t>
            </w:r>
          </w:p>
        </w:tc>
        <w:tc>
          <w:tcPr>
            <w:tcW w:w="4423" w:type="dxa"/>
            <w:shd w:val="clear" w:color="auto" w:fill="FFFFFF"/>
            <w:noWrap w:val="0"/>
            <w:vAlign w:val="center"/>
          </w:tcPr>
          <w:p w14:paraId="5B127A8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2</w:t>
            </w:r>
            <w:r>
              <w:rPr>
                <w:rFonts w:hint="eastAsia" w:ascii="Times New Roman" w:hAnsi="Times New Roman" w:eastAsia="宋体" w:cs="Times New Roman"/>
                <w:kern w:val="2"/>
                <w:sz w:val="24"/>
                <w:szCs w:val="24"/>
              </w:rPr>
              <w:t>%</w:t>
            </w:r>
          </w:p>
        </w:tc>
      </w:tr>
      <w:tr w14:paraId="3C4FE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198" w:type="dxa"/>
            <w:shd w:val="clear" w:color="auto" w:fill="FFFFFF"/>
            <w:noWrap w:val="0"/>
            <w:vAlign w:val="center"/>
          </w:tcPr>
          <w:p w14:paraId="53C36E34">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检出限</w:t>
            </w:r>
          </w:p>
        </w:tc>
        <w:tc>
          <w:tcPr>
            <w:tcW w:w="4423" w:type="dxa"/>
            <w:shd w:val="clear" w:color="auto" w:fill="FFFFFF"/>
            <w:noWrap w:val="0"/>
            <w:vAlign w:val="center"/>
          </w:tcPr>
          <w:p w14:paraId="157C73FB">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≤0.</w:t>
            </w:r>
            <w:r>
              <w:rPr>
                <w:rFonts w:hint="eastAsia" w:ascii="Times New Roman" w:hAnsi="Times New Roman" w:eastAsia="宋体" w:cs="Times New Roman"/>
                <w:kern w:val="2"/>
                <w:sz w:val="24"/>
                <w:szCs w:val="24"/>
                <w:lang w:val="en-US" w:eastAsia="zh-CN"/>
              </w:rPr>
              <w:t>0</w:t>
            </w:r>
            <w:r>
              <w:rPr>
                <w:rFonts w:hint="eastAsia" w:ascii="Times New Roman" w:hAnsi="Times New Roman" w:eastAsia="宋体" w:cs="Times New Roman"/>
                <w:kern w:val="2"/>
                <w:sz w:val="24"/>
                <w:szCs w:val="24"/>
              </w:rPr>
              <w:t>3mg/L</w:t>
            </w:r>
          </w:p>
        </w:tc>
      </w:tr>
      <w:tr w14:paraId="0D4D4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4198" w:type="dxa"/>
            <w:shd w:val="clear" w:color="auto" w:fill="FFFFFF"/>
            <w:noWrap w:val="0"/>
            <w:vAlign w:val="center"/>
          </w:tcPr>
          <w:p w14:paraId="7C650691">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MTBF</w:t>
            </w:r>
          </w:p>
        </w:tc>
        <w:tc>
          <w:tcPr>
            <w:tcW w:w="4423" w:type="dxa"/>
            <w:shd w:val="clear" w:color="auto" w:fill="FFFFFF"/>
            <w:noWrap w:val="0"/>
            <w:vAlign w:val="center"/>
          </w:tcPr>
          <w:p w14:paraId="02BC4412">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w:t>
            </w:r>
            <w:r>
              <w:rPr>
                <w:rFonts w:hint="eastAsia" w:ascii="Times New Roman" w:hAnsi="Times New Roman" w:eastAsia="宋体" w:cs="Times New Roman"/>
                <w:kern w:val="2"/>
                <w:sz w:val="24"/>
                <w:szCs w:val="24"/>
                <w:lang w:val="en-US" w:eastAsia="zh-CN"/>
              </w:rPr>
              <w:t>144</w:t>
            </w:r>
            <w:r>
              <w:rPr>
                <w:rFonts w:hint="eastAsia" w:ascii="Times New Roman" w:hAnsi="Times New Roman" w:eastAsia="宋体" w:cs="Times New Roman"/>
                <w:kern w:val="2"/>
                <w:sz w:val="24"/>
                <w:szCs w:val="24"/>
              </w:rPr>
              <w:t>0h/次</w:t>
            </w:r>
          </w:p>
        </w:tc>
      </w:tr>
      <w:tr w14:paraId="4C30B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198" w:type="dxa"/>
            <w:shd w:val="clear" w:color="auto" w:fill="FFFFFF"/>
            <w:noWrap w:val="0"/>
            <w:vAlign w:val="center"/>
          </w:tcPr>
          <w:p w14:paraId="3B274C06">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实际水样比对试验</w:t>
            </w:r>
          </w:p>
        </w:tc>
        <w:tc>
          <w:tcPr>
            <w:tcW w:w="4423" w:type="dxa"/>
            <w:shd w:val="clear" w:color="auto" w:fill="FFFFFF"/>
            <w:noWrap w:val="0"/>
            <w:vAlign w:val="center"/>
          </w:tcPr>
          <w:p w14:paraId="6ED6F218">
            <w:pPr>
              <w:spacing w:line="360" w:lineRule="auto"/>
              <w:rPr>
                <w:rFonts w:hint="eastAsia" w:ascii="Times New Roman" w:hAnsi="Times New Roman" w:eastAsia="宋体" w:cs="Times New Roman"/>
                <w:kern w:val="2"/>
                <w:sz w:val="24"/>
                <w:szCs w:val="24"/>
              </w:rPr>
            </w:pPr>
            <w:r>
              <w:rPr>
                <w:rFonts w:hint="eastAsia" w:ascii="Times New Roman" w:hAnsi="Times New Roman" w:eastAsia="宋体" w:cs="Times New Roman"/>
                <w:kern w:val="2"/>
                <w:sz w:val="24"/>
                <w:szCs w:val="24"/>
              </w:rPr>
              <w:t>参照《地表水自动监测技术规范(试行)》(HJ</w:t>
            </w:r>
            <w:r>
              <w:rPr>
                <w:rFonts w:hint="eastAsia" w:ascii="Times New Roman" w:hAnsi="Times New Roman" w:eastAsia="宋体" w:cs="Times New Roman"/>
                <w:kern w:val="2"/>
                <w:sz w:val="24"/>
                <w:szCs w:val="24"/>
                <w:lang w:val="en-US" w:eastAsia="zh-CN"/>
              </w:rPr>
              <w:t xml:space="preserve"> </w:t>
            </w:r>
            <w:r>
              <w:rPr>
                <w:rFonts w:hint="eastAsia" w:ascii="Times New Roman" w:hAnsi="Times New Roman" w:eastAsia="宋体" w:cs="Times New Roman"/>
                <w:kern w:val="2"/>
                <w:sz w:val="24"/>
                <w:szCs w:val="24"/>
              </w:rPr>
              <w:t>915-2017)规范实施</w:t>
            </w:r>
          </w:p>
        </w:tc>
      </w:tr>
      <w:tr w14:paraId="1D1DE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4198" w:type="dxa"/>
            <w:noWrap w:val="0"/>
            <w:vAlign w:val="center"/>
          </w:tcPr>
          <w:p w14:paraId="65FFC75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rPr>
              <w:t>抗浊度干扰</w:t>
            </w:r>
          </w:p>
        </w:tc>
        <w:tc>
          <w:tcPr>
            <w:tcW w:w="4423" w:type="dxa"/>
            <w:noWrap w:val="0"/>
            <w:vAlign w:val="top"/>
          </w:tcPr>
          <w:p w14:paraId="5DFEC90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val="en-US" w:eastAsia="zh-CN"/>
              </w:rPr>
              <w:t>应具备抗浊度干扰，需对不同浊度的水体进行测试，测试样本数不少于15个，抗浊度干扰功能能够达到相应的效果，在浊度100NTU-350NTU时与实验室数据相对偏差不超过15%，需提供监测报告或相关测试证明材料。</w:t>
            </w:r>
          </w:p>
        </w:tc>
      </w:tr>
    </w:tbl>
    <w:p w14:paraId="2881AFAC">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6、化学需氧量水质自动分析仪</w:t>
      </w:r>
    </w:p>
    <w:tbl>
      <w:tblPr>
        <w:tblStyle w:val="53"/>
        <w:tblW w:w="453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08"/>
        <w:gridCol w:w="4410"/>
      </w:tblGrid>
      <w:tr w14:paraId="27964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2411" w:type="pct"/>
            <w:tcBorders>
              <w:top w:val="single" w:color="auto" w:sz="8" w:space="0"/>
              <w:bottom w:val="single" w:color="auto" w:sz="8" w:space="0"/>
            </w:tcBorders>
            <w:noWrap w:val="0"/>
            <w:vAlign w:val="center"/>
          </w:tcPr>
          <w:p w14:paraId="2F8EB68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项   目</w:t>
            </w:r>
          </w:p>
        </w:tc>
        <w:tc>
          <w:tcPr>
            <w:tcW w:w="2588" w:type="pct"/>
            <w:tcBorders>
              <w:top w:val="single" w:color="auto" w:sz="8" w:space="0"/>
              <w:bottom w:val="single" w:color="auto" w:sz="8" w:space="0"/>
            </w:tcBorders>
            <w:noWrap w:val="0"/>
            <w:vAlign w:val="center"/>
          </w:tcPr>
          <w:p w14:paraId="6A13E1E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技术指标</w:t>
            </w:r>
          </w:p>
        </w:tc>
      </w:tr>
      <w:tr w14:paraId="225D6E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8" w:space="0"/>
              <w:bottom w:val="single" w:color="auto" w:sz="8" w:space="0"/>
            </w:tcBorders>
            <w:noWrap w:val="0"/>
            <w:vAlign w:val="center"/>
          </w:tcPr>
          <w:p w14:paraId="38405D2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参数</w:t>
            </w:r>
          </w:p>
        </w:tc>
        <w:tc>
          <w:tcPr>
            <w:tcW w:w="2588" w:type="pct"/>
            <w:tcBorders>
              <w:top w:val="single" w:color="auto" w:sz="8" w:space="0"/>
              <w:bottom w:val="single" w:color="auto" w:sz="8" w:space="0"/>
            </w:tcBorders>
            <w:noWrap w:val="0"/>
            <w:vAlign w:val="center"/>
          </w:tcPr>
          <w:p w14:paraId="4F7AF8C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化学需氧量</w:t>
            </w:r>
          </w:p>
        </w:tc>
      </w:tr>
      <w:tr w14:paraId="3BCBA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8" w:space="0"/>
              <w:bottom w:val="single" w:color="auto" w:sz="8" w:space="0"/>
            </w:tcBorders>
            <w:noWrap w:val="0"/>
            <w:vAlign w:val="center"/>
          </w:tcPr>
          <w:p w14:paraId="47B193A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分析方法</w:t>
            </w:r>
          </w:p>
        </w:tc>
        <w:tc>
          <w:tcPr>
            <w:tcW w:w="2588" w:type="pct"/>
            <w:tcBorders>
              <w:top w:val="single" w:color="auto" w:sz="8" w:space="0"/>
              <w:bottom w:val="single" w:color="auto" w:sz="8" w:space="0"/>
            </w:tcBorders>
            <w:noWrap w:val="0"/>
            <w:vAlign w:val="center"/>
          </w:tcPr>
          <w:p w14:paraId="5C6E2F9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重铬酸钾氧化分光光度法</w:t>
            </w:r>
          </w:p>
        </w:tc>
      </w:tr>
      <w:tr w14:paraId="225E4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8" w:space="0"/>
            </w:tcBorders>
            <w:noWrap w:val="0"/>
            <w:vAlign w:val="center"/>
          </w:tcPr>
          <w:p w14:paraId="19D277B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测定范围</w:t>
            </w:r>
          </w:p>
        </w:tc>
        <w:tc>
          <w:tcPr>
            <w:tcW w:w="2588" w:type="pct"/>
            <w:tcBorders>
              <w:top w:val="single" w:color="auto" w:sz="8" w:space="0"/>
            </w:tcBorders>
            <w:noWrap w:val="0"/>
            <w:vAlign w:val="center"/>
          </w:tcPr>
          <w:p w14:paraId="133640F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0~5000mg/L（可扩展）</w:t>
            </w:r>
          </w:p>
        </w:tc>
      </w:tr>
      <w:tr w14:paraId="03EFE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bottom w:val="single" w:color="auto" w:sz="4" w:space="0"/>
            </w:tcBorders>
            <w:noWrap w:val="0"/>
            <w:vAlign w:val="center"/>
          </w:tcPr>
          <w:p w14:paraId="66D52ED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准确度</w:t>
            </w:r>
          </w:p>
        </w:tc>
        <w:tc>
          <w:tcPr>
            <w:tcW w:w="2588" w:type="pct"/>
            <w:tcBorders>
              <w:bottom w:val="single" w:color="auto" w:sz="4" w:space="0"/>
            </w:tcBorders>
            <w:noWrap w:val="0"/>
            <w:vAlign w:val="center"/>
          </w:tcPr>
          <w:p w14:paraId="09AA34B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333ED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411" w:type="pct"/>
            <w:tcBorders>
              <w:top w:val="single" w:color="auto" w:sz="4" w:space="0"/>
              <w:bottom w:val="single" w:color="auto" w:sz="4" w:space="0"/>
            </w:tcBorders>
            <w:noWrap w:val="0"/>
            <w:vAlign w:val="center"/>
          </w:tcPr>
          <w:p w14:paraId="6EB3863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重复性</w:t>
            </w:r>
          </w:p>
        </w:tc>
        <w:tc>
          <w:tcPr>
            <w:tcW w:w="2588" w:type="pct"/>
            <w:tcBorders>
              <w:top w:val="single" w:color="auto" w:sz="4" w:space="0"/>
              <w:bottom w:val="single" w:color="auto" w:sz="4" w:space="0"/>
            </w:tcBorders>
            <w:noWrap w:val="0"/>
            <w:vAlign w:val="center"/>
          </w:tcPr>
          <w:p w14:paraId="5D0B1C7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00CAA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4" w:space="0"/>
              <w:bottom w:val="single" w:color="auto" w:sz="4" w:space="0"/>
            </w:tcBorders>
            <w:noWrap w:val="0"/>
            <w:vAlign w:val="center"/>
          </w:tcPr>
          <w:p w14:paraId="1B7CE54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零点漂移</w:t>
            </w:r>
          </w:p>
        </w:tc>
        <w:tc>
          <w:tcPr>
            <w:tcW w:w="2588" w:type="pct"/>
            <w:tcBorders>
              <w:top w:val="single" w:color="auto" w:sz="4" w:space="0"/>
              <w:bottom w:val="single" w:color="auto" w:sz="4" w:space="0"/>
            </w:tcBorders>
            <w:noWrap w:val="0"/>
            <w:vAlign w:val="center"/>
          </w:tcPr>
          <w:p w14:paraId="1E66EAD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±5mg/L</w:t>
            </w:r>
          </w:p>
        </w:tc>
      </w:tr>
      <w:tr w14:paraId="13351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411" w:type="pct"/>
            <w:tcBorders>
              <w:top w:val="single" w:color="auto" w:sz="4" w:space="0"/>
              <w:bottom w:val="single" w:color="auto" w:sz="8" w:space="0"/>
            </w:tcBorders>
            <w:noWrap w:val="0"/>
            <w:vAlign w:val="center"/>
          </w:tcPr>
          <w:p w14:paraId="76EDB898">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量程漂移</w:t>
            </w:r>
          </w:p>
        </w:tc>
        <w:tc>
          <w:tcPr>
            <w:tcW w:w="2588" w:type="pct"/>
            <w:tcBorders>
              <w:top w:val="single" w:color="auto" w:sz="4" w:space="0"/>
              <w:bottom w:val="single" w:color="auto" w:sz="8" w:space="0"/>
            </w:tcBorders>
            <w:noWrap w:val="0"/>
            <w:vAlign w:val="center"/>
          </w:tcPr>
          <w:p w14:paraId="488F4A5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026E38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8" w:space="0"/>
              <w:bottom w:val="single" w:color="auto" w:sz="8" w:space="0"/>
            </w:tcBorders>
            <w:noWrap w:val="0"/>
            <w:vAlign w:val="center"/>
          </w:tcPr>
          <w:p w14:paraId="5A3614D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检出限</w:t>
            </w:r>
          </w:p>
        </w:tc>
        <w:tc>
          <w:tcPr>
            <w:tcW w:w="2588" w:type="pct"/>
            <w:tcBorders>
              <w:top w:val="single" w:color="auto" w:sz="8" w:space="0"/>
              <w:bottom w:val="single" w:color="auto" w:sz="8" w:space="0"/>
            </w:tcBorders>
            <w:noWrap w:val="0"/>
            <w:vAlign w:val="center"/>
          </w:tcPr>
          <w:p w14:paraId="10DBF93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≤2mg/L</w:t>
            </w:r>
          </w:p>
        </w:tc>
      </w:tr>
      <w:tr w14:paraId="629B67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411" w:type="pct"/>
            <w:vMerge w:val="restart"/>
            <w:tcBorders>
              <w:top w:val="single" w:color="auto" w:sz="8" w:space="0"/>
            </w:tcBorders>
            <w:noWrap w:val="0"/>
            <w:vAlign w:val="center"/>
          </w:tcPr>
          <w:p w14:paraId="675E6D5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实际水样比对试验</w:t>
            </w:r>
          </w:p>
        </w:tc>
        <w:tc>
          <w:tcPr>
            <w:tcW w:w="2588" w:type="pct"/>
            <w:tcBorders>
              <w:top w:val="single" w:color="auto" w:sz="8" w:space="0"/>
              <w:bottom w:val="single" w:color="auto" w:sz="4" w:space="0"/>
            </w:tcBorders>
            <w:noWrap w:val="0"/>
            <w:vAlign w:val="center"/>
          </w:tcPr>
          <w:p w14:paraId="312C2C7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COD≥50mg/L，相对误差≤10%</w:t>
            </w:r>
          </w:p>
        </w:tc>
      </w:tr>
      <w:tr w14:paraId="579F1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11" w:type="pct"/>
            <w:vMerge w:val="continue"/>
            <w:noWrap w:val="0"/>
            <w:vAlign w:val="center"/>
          </w:tcPr>
          <w:p w14:paraId="3AD9C0E8">
            <w:pPr>
              <w:spacing w:line="360" w:lineRule="auto"/>
              <w:rPr>
                <w:rFonts w:hint="eastAsia" w:ascii="Times New Roman" w:hAnsi="Times New Roman" w:eastAsia="宋体" w:cs="Times New Roman"/>
                <w:kern w:val="2"/>
                <w:sz w:val="24"/>
                <w:szCs w:val="24"/>
                <w:lang w:val="en-US" w:eastAsia="zh-CN"/>
              </w:rPr>
            </w:pPr>
          </w:p>
        </w:tc>
        <w:tc>
          <w:tcPr>
            <w:tcW w:w="2588" w:type="pct"/>
            <w:noWrap w:val="0"/>
            <w:vAlign w:val="center"/>
          </w:tcPr>
          <w:p w14:paraId="2F6D191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COD＜50mg/L，绝对误差≤5mg/L</w:t>
            </w:r>
          </w:p>
        </w:tc>
      </w:tr>
      <w:tr w14:paraId="73560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bottom w:val="single" w:color="auto" w:sz="4" w:space="0"/>
            </w:tcBorders>
            <w:noWrap w:val="0"/>
            <w:vAlign w:val="center"/>
          </w:tcPr>
          <w:p w14:paraId="67725BE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分辨率</w:t>
            </w:r>
          </w:p>
        </w:tc>
        <w:tc>
          <w:tcPr>
            <w:tcW w:w="2588" w:type="pct"/>
            <w:tcBorders>
              <w:bottom w:val="single" w:color="auto" w:sz="4" w:space="0"/>
            </w:tcBorders>
            <w:noWrap w:val="0"/>
            <w:vAlign w:val="center"/>
          </w:tcPr>
          <w:p w14:paraId="114F892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0.1mg/L</w:t>
            </w:r>
          </w:p>
        </w:tc>
      </w:tr>
      <w:tr w14:paraId="691A5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411" w:type="pct"/>
            <w:tcBorders>
              <w:top w:val="single" w:color="auto" w:sz="4" w:space="0"/>
              <w:bottom w:val="single" w:color="auto" w:sz="4" w:space="0"/>
            </w:tcBorders>
            <w:noWrap w:val="0"/>
            <w:vAlign w:val="center"/>
          </w:tcPr>
          <w:p w14:paraId="00E36CD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测量时间</w:t>
            </w:r>
          </w:p>
        </w:tc>
        <w:tc>
          <w:tcPr>
            <w:tcW w:w="2588" w:type="pct"/>
            <w:tcBorders>
              <w:top w:val="single" w:color="auto" w:sz="4" w:space="0"/>
              <w:bottom w:val="single" w:color="auto" w:sz="4" w:space="0"/>
            </w:tcBorders>
            <w:noWrap w:val="0"/>
            <w:vAlign w:val="center"/>
          </w:tcPr>
          <w:p w14:paraId="13F80A6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≤35min</w:t>
            </w:r>
          </w:p>
        </w:tc>
      </w:tr>
      <w:tr w14:paraId="70F2B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411" w:type="pct"/>
            <w:tcBorders>
              <w:top w:val="single" w:color="auto" w:sz="4" w:space="0"/>
              <w:bottom w:val="single" w:color="auto" w:sz="4" w:space="0"/>
            </w:tcBorders>
            <w:noWrap w:val="0"/>
            <w:vAlign w:val="center"/>
          </w:tcPr>
          <w:p w14:paraId="389B76E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平均无故障运行时间</w:t>
            </w:r>
          </w:p>
        </w:tc>
        <w:tc>
          <w:tcPr>
            <w:tcW w:w="2588" w:type="pct"/>
            <w:tcBorders>
              <w:top w:val="single" w:color="auto" w:sz="4" w:space="0"/>
              <w:bottom w:val="single" w:color="auto" w:sz="4" w:space="0"/>
            </w:tcBorders>
            <w:noWrap w:val="0"/>
            <w:vAlign w:val="center"/>
          </w:tcPr>
          <w:p w14:paraId="2E24C0F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≥1440h/次</w:t>
            </w:r>
          </w:p>
        </w:tc>
      </w:tr>
      <w:tr w14:paraId="097D1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11" w:type="pct"/>
            <w:tcBorders>
              <w:top w:val="single" w:color="auto" w:sz="4" w:space="0"/>
              <w:bottom w:val="single" w:color="auto" w:sz="4" w:space="0"/>
            </w:tcBorders>
            <w:noWrap w:val="0"/>
            <w:vAlign w:val="center"/>
          </w:tcPr>
          <w:p w14:paraId="1FD05F1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电压稳定性</w:t>
            </w:r>
          </w:p>
        </w:tc>
        <w:tc>
          <w:tcPr>
            <w:tcW w:w="2588" w:type="pct"/>
            <w:tcBorders>
              <w:top w:val="single" w:color="auto" w:sz="4" w:space="0"/>
              <w:bottom w:val="single" w:color="auto" w:sz="4" w:space="0"/>
            </w:tcBorders>
            <w:noWrap w:val="0"/>
            <w:vAlign w:val="center"/>
          </w:tcPr>
          <w:p w14:paraId="1203458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04D03C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11" w:type="pct"/>
            <w:tcBorders>
              <w:top w:val="single" w:color="auto" w:sz="4" w:space="0"/>
              <w:bottom w:val="single" w:color="auto" w:sz="4" w:space="0"/>
            </w:tcBorders>
            <w:noWrap w:val="0"/>
            <w:vAlign w:val="center"/>
          </w:tcPr>
          <w:p w14:paraId="572E98F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环境温度稳定性</w:t>
            </w:r>
          </w:p>
        </w:tc>
        <w:tc>
          <w:tcPr>
            <w:tcW w:w="2588" w:type="pct"/>
            <w:tcBorders>
              <w:top w:val="single" w:color="auto" w:sz="4" w:space="0"/>
              <w:bottom w:val="single" w:color="auto" w:sz="4" w:space="0"/>
            </w:tcBorders>
            <w:noWrap w:val="0"/>
            <w:vAlign w:val="center"/>
          </w:tcPr>
          <w:p w14:paraId="62CFF7C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4FDB2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11" w:type="pct"/>
            <w:tcBorders>
              <w:top w:val="single" w:color="auto" w:sz="4" w:space="0"/>
              <w:bottom w:val="single" w:color="auto" w:sz="4" w:space="0"/>
            </w:tcBorders>
            <w:noWrap w:val="0"/>
            <w:vAlign w:val="center"/>
          </w:tcPr>
          <w:p w14:paraId="0D4363F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记忆效应</w:t>
            </w:r>
          </w:p>
        </w:tc>
        <w:tc>
          <w:tcPr>
            <w:tcW w:w="2588" w:type="pct"/>
            <w:tcBorders>
              <w:top w:val="single" w:color="auto" w:sz="4" w:space="0"/>
              <w:bottom w:val="single" w:color="auto" w:sz="4" w:space="0"/>
            </w:tcBorders>
            <w:noWrap w:val="0"/>
            <w:vAlign w:val="center"/>
          </w:tcPr>
          <w:p w14:paraId="3B0E448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≤5mg/L</w:t>
            </w:r>
          </w:p>
        </w:tc>
      </w:tr>
    </w:tbl>
    <w:p w14:paraId="273710BF">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7、磷酸盐水质自动分析仪</w:t>
      </w:r>
    </w:p>
    <w:tbl>
      <w:tblPr>
        <w:tblStyle w:val="53"/>
        <w:tblW w:w="46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37"/>
        <w:gridCol w:w="4528"/>
      </w:tblGrid>
      <w:tr w14:paraId="708EB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387" w:type="pct"/>
            <w:tcBorders>
              <w:top w:val="single" w:color="auto" w:sz="8" w:space="0"/>
              <w:bottom w:val="single" w:color="auto" w:sz="8" w:space="0"/>
            </w:tcBorders>
            <w:noWrap w:val="0"/>
            <w:vAlign w:val="center"/>
          </w:tcPr>
          <w:p w14:paraId="0A74385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项    目</w:t>
            </w:r>
          </w:p>
        </w:tc>
        <w:tc>
          <w:tcPr>
            <w:tcW w:w="2612" w:type="pct"/>
            <w:tcBorders>
              <w:top w:val="single" w:color="auto" w:sz="8" w:space="0"/>
              <w:bottom w:val="single" w:color="auto" w:sz="8" w:space="0"/>
            </w:tcBorders>
            <w:noWrap w:val="0"/>
            <w:vAlign w:val="center"/>
          </w:tcPr>
          <w:p w14:paraId="0E3896E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技术指标</w:t>
            </w:r>
          </w:p>
        </w:tc>
      </w:tr>
      <w:tr w14:paraId="076CB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8" w:space="0"/>
              <w:bottom w:val="single" w:color="auto" w:sz="8" w:space="0"/>
            </w:tcBorders>
            <w:noWrap w:val="0"/>
            <w:vAlign w:val="center"/>
          </w:tcPr>
          <w:p w14:paraId="164305B4">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参数</w:t>
            </w:r>
          </w:p>
        </w:tc>
        <w:tc>
          <w:tcPr>
            <w:tcW w:w="2612" w:type="pct"/>
            <w:tcBorders>
              <w:top w:val="single" w:color="auto" w:sz="8" w:space="0"/>
              <w:bottom w:val="single" w:color="auto" w:sz="8" w:space="0"/>
            </w:tcBorders>
            <w:noWrap w:val="0"/>
            <w:vAlign w:val="center"/>
          </w:tcPr>
          <w:p w14:paraId="3E3A3D1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磷酸盐</w:t>
            </w:r>
          </w:p>
        </w:tc>
      </w:tr>
      <w:tr w14:paraId="747803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8" w:space="0"/>
              <w:bottom w:val="single" w:color="auto" w:sz="8" w:space="0"/>
            </w:tcBorders>
            <w:noWrap w:val="0"/>
            <w:vAlign w:val="center"/>
          </w:tcPr>
          <w:p w14:paraId="45B72A8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分析方法</w:t>
            </w:r>
          </w:p>
        </w:tc>
        <w:tc>
          <w:tcPr>
            <w:tcW w:w="2612" w:type="pct"/>
            <w:tcBorders>
              <w:top w:val="single" w:color="auto" w:sz="8" w:space="0"/>
              <w:bottom w:val="single" w:color="auto" w:sz="8" w:space="0"/>
            </w:tcBorders>
            <w:noWrap w:val="0"/>
            <w:vAlign w:val="center"/>
          </w:tcPr>
          <w:p w14:paraId="58B2676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钼酸铵分光光度法</w:t>
            </w:r>
          </w:p>
        </w:tc>
      </w:tr>
      <w:tr w14:paraId="5305D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8" w:space="0"/>
            </w:tcBorders>
            <w:noWrap w:val="0"/>
            <w:vAlign w:val="center"/>
          </w:tcPr>
          <w:p w14:paraId="6FBA270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测定范围</w:t>
            </w:r>
          </w:p>
        </w:tc>
        <w:tc>
          <w:tcPr>
            <w:tcW w:w="2612" w:type="pct"/>
            <w:tcBorders>
              <w:top w:val="single" w:color="auto" w:sz="8" w:space="0"/>
            </w:tcBorders>
            <w:noWrap w:val="0"/>
            <w:vAlign w:val="center"/>
          </w:tcPr>
          <w:p w14:paraId="6FD12068">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0~50mg/L（可扩展）</w:t>
            </w:r>
          </w:p>
        </w:tc>
      </w:tr>
      <w:tr w14:paraId="07BD8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bottom w:val="single" w:color="auto" w:sz="4" w:space="0"/>
            </w:tcBorders>
            <w:noWrap w:val="0"/>
            <w:vAlign w:val="center"/>
          </w:tcPr>
          <w:p w14:paraId="57BC0A9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准确度</w:t>
            </w:r>
          </w:p>
        </w:tc>
        <w:tc>
          <w:tcPr>
            <w:tcW w:w="2612" w:type="pct"/>
            <w:tcBorders>
              <w:bottom w:val="single" w:color="auto" w:sz="4" w:space="0"/>
            </w:tcBorders>
            <w:noWrap w:val="0"/>
            <w:vAlign w:val="top"/>
          </w:tcPr>
          <w:p w14:paraId="62BC604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1E76B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7" w:type="pct"/>
            <w:tcBorders>
              <w:top w:val="single" w:color="auto" w:sz="4" w:space="0"/>
              <w:bottom w:val="single" w:color="auto" w:sz="4" w:space="0"/>
            </w:tcBorders>
            <w:noWrap w:val="0"/>
            <w:vAlign w:val="center"/>
          </w:tcPr>
          <w:p w14:paraId="0D7539E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重复性</w:t>
            </w:r>
          </w:p>
        </w:tc>
        <w:tc>
          <w:tcPr>
            <w:tcW w:w="2612" w:type="pct"/>
            <w:tcBorders>
              <w:top w:val="single" w:color="auto" w:sz="4" w:space="0"/>
              <w:bottom w:val="single" w:color="auto" w:sz="4" w:space="0"/>
            </w:tcBorders>
            <w:noWrap w:val="0"/>
            <w:vAlign w:val="top"/>
          </w:tcPr>
          <w:p w14:paraId="2875545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7E128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4" w:space="0"/>
              <w:bottom w:val="single" w:color="auto" w:sz="4" w:space="0"/>
            </w:tcBorders>
            <w:noWrap w:val="0"/>
            <w:vAlign w:val="center"/>
          </w:tcPr>
          <w:p w14:paraId="7DBD310D">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零点漂移</w:t>
            </w:r>
          </w:p>
        </w:tc>
        <w:tc>
          <w:tcPr>
            <w:tcW w:w="2612" w:type="pct"/>
            <w:tcBorders>
              <w:top w:val="single" w:color="auto" w:sz="4" w:space="0"/>
              <w:bottom w:val="single" w:color="auto" w:sz="4" w:space="0"/>
            </w:tcBorders>
            <w:noWrap w:val="0"/>
            <w:vAlign w:val="top"/>
          </w:tcPr>
          <w:p w14:paraId="2491D6D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0594C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7" w:type="pct"/>
            <w:tcBorders>
              <w:top w:val="single" w:color="auto" w:sz="4" w:space="0"/>
              <w:bottom w:val="single" w:color="auto" w:sz="8" w:space="0"/>
            </w:tcBorders>
            <w:noWrap w:val="0"/>
            <w:vAlign w:val="center"/>
          </w:tcPr>
          <w:p w14:paraId="540A3BE8">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量程漂移</w:t>
            </w:r>
          </w:p>
        </w:tc>
        <w:tc>
          <w:tcPr>
            <w:tcW w:w="2612" w:type="pct"/>
            <w:tcBorders>
              <w:top w:val="single" w:color="auto" w:sz="4" w:space="0"/>
              <w:bottom w:val="single" w:color="auto" w:sz="8" w:space="0"/>
            </w:tcBorders>
            <w:noWrap w:val="0"/>
            <w:vAlign w:val="top"/>
          </w:tcPr>
          <w:p w14:paraId="3D6D7EB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50FE8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8" w:space="0"/>
              <w:bottom w:val="single" w:color="auto" w:sz="8" w:space="0"/>
            </w:tcBorders>
            <w:noWrap w:val="0"/>
            <w:vAlign w:val="center"/>
          </w:tcPr>
          <w:p w14:paraId="3C026C0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检出限</w:t>
            </w:r>
          </w:p>
        </w:tc>
        <w:tc>
          <w:tcPr>
            <w:tcW w:w="2612" w:type="pct"/>
            <w:tcBorders>
              <w:top w:val="single" w:color="auto" w:sz="8" w:space="0"/>
              <w:bottom w:val="single" w:color="auto" w:sz="8" w:space="0"/>
            </w:tcBorders>
            <w:noWrap w:val="0"/>
            <w:vAlign w:val="center"/>
          </w:tcPr>
          <w:p w14:paraId="6F351052">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≤0.005mg/L</w:t>
            </w:r>
          </w:p>
        </w:tc>
      </w:tr>
      <w:tr w14:paraId="66271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8" w:space="0"/>
            </w:tcBorders>
            <w:noWrap w:val="0"/>
            <w:vAlign w:val="center"/>
          </w:tcPr>
          <w:p w14:paraId="54DC83C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实际水样比对试验</w:t>
            </w:r>
          </w:p>
        </w:tc>
        <w:tc>
          <w:tcPr>
            <w:tcW w:w="2612" w:type="pct"/>
            <w:tcBorders>
              <w:top w:val="single" w:color="auto" w:sz="8" w:space="0"/>
            </w:tcBorders>
            <w:noWrap w:val="0"/>
            <w:vAlign w:val="center"/>
          </w:tcPr>
          <w:p w14:paraId="7CA0B36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≤10%</w:t>
            </w:r>
          </w:p>
        </w:tc>
      </w:tr>
      <w:tr w14:paraId="7D09EC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bottom w:val="single" w:color="auto" w:sz="4" w:space="0"/>
            </w:tcBorders>
            <w:noWrap w:val="0"/>
            <w:vAlign w:val="center"/>
          </w:tcPr>
          <w:p w14:paraId="5D3BF2D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分辨率</w:t>
            </w:r>
          </w:p>
        </w:tc>
        <w:tc>
          <w:tcPr>
            <w:tcW w:w="2612" w:type="pct"/>
            <w:tcBorders>
              <w:bottom w:val="single" w:color="auto" w:sz="4" w:space="0"/>
            </w:tcBorders>
            <w:noWrap w:val="0"/>
            <w:vAlign w:val="center"/>
          </w:tcPr>
          <w:p w14:paraId="7A66C2A0">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0.001mg/L</w:t>
            </w:r>
          </w:p>
        </w:tc>
      </w:tr>
      <w:tr w14:paraId="4BCC9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7" w:type="pct"/>
            <w:tcBorders>
              <w:top w:val="single" w:color="auto" w:sz="4" w:space="0"/>
              <w:bottom w:val="single" w:color="auto" w:sz="4" w:space="0"/>
            </w:tcBorders>
            <w:noWrap w:val="0"/>
            <w:vAlign w:val="center"/>
          </w:tcPr>
          <w:p w14:paraId="42811A4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测量时间</w:t>
            </w:r>
          </w:p>
        </w:tc>
        <w:tc>
          <w:tcPr>
            <w:tcW w:w="2612" w:type="pct"/>
            <w:tcBorders>
              <w:top w:val="single" w:color="auto" w:sz="4" w:space="0"/>
              <w:bottom w:val="single" w:color="auto" w:sz="4" w:space="0"/>
            </w:tcBorders>
            <w:noWrap w:val="0"/>
            <w:vAlign w:val="center"/>
          </w:tcPr>
          <w:p w14:paraId="30A16B6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≤20min</w:t>
            </w:r>
          </w:p>
        </w:tc>
      </w:tr>
      <w:tr w14:paraId="1394F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7" w:type="pct"/>
            <w:tcBorders>
              <w:top w:val="single" w:color="auto" w:sz="4" w:space="0"/>
              <w:bottom w:val="single" w:color="auto" w:sz="4" w:space="0"/>
            </w:tcBorders>
            <w:noWrap w:val="0"/>
            <w:vAlign w:val="center"/>
          </w:tcPr>
          <w:p w14:paraId="0C99A5B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平均无故障运行时间</w:t>
            </w:r>
          </w:p>
        </w:tc>
        <w:tc>
          <w:tcPr>
            <w:tcW w:w="2612" w:type="pct"/>
            <w:tcBorders>
              <w:top w:val="single" w:color="auto" w:sz="4" w:space="0"/>
              <w:bottom w:val="single" w:color="auto" w:sz="4" w:space="0"/>
            </w:tcBorders>
            <w:noWrap w:val="0"/>
            <w:vAlign w:val="center"/>
          </w:tcPr>
          <w:p w14:paraId="55AE94B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≥1440h/次</w:t>
            </w:r>
          </w:p>
        </w:tc>
      </w:tr>
      <w:tr w14:paraId="6F232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7" w:type="pct"/>
            <w:tcBorders>
              <w:top w:val="single" w:color="auto" w:sz="4" w:space="0"/>
              <w:bottom w:val="single" w:color="auto" w:sz="4" w:space="0"/>
            </w:tcBorders>
            <w:noWrap w:val="0"/>
            <w:vAlign w:val="center"/>
          </w:tcPr>
          <w:p w14:paraId="62B1DCA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电压稳定性</w:t>
            </w:r>
          </w:p>
        </w:tc>
        <w:tc>
          <w:tcPr>
            <w:tcW w:w="2612" w:type="pct"/>
            <w:tcBorders>
              <w:top w:val="single" w:color="auto" w:sz="4" w:space="0"/>
              <w:bottom w:val="single" w:color="auto" w:sz="4" w:space="0"/>
            </w:tcBorders>
            <w:noWrap w:val="0"/>
            <w:vAlign w:val="center"/>
          </w:tcPr>
          <w:p w14:paraId="4BD8256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16E477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7" w:type="pct"/>
            <w:tcBorders>
              <w:top w:val="single" w:color="auto" w:sz="4" w:space="0"/>
              <w:bottom w:val="single" w:color="auto" w:sz="4" w:space="0"/>
            </w:tcBorders>
            <w:noWrap w:val="0"/>
            <w:vAlign w:val="center"/>
          </w:tcPr>
          <w:p w14:paraId="197F8282">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环境温度稳定性</w:t>
            </w:r>
          </w:p>
        </w:tc>
        <w:tc>
          <w:tcPr>
            <w:tcW w:w="2612" w:type="pct"/>
            <w:tcBorders>
              <w:top w:val="single" w:color="auto" w:sz="4" w:space="0"/>
              <w:bottom w:val="single" w:color="auto" w:sz="4" w:space="0"/>
            </w:tcBorders>
            <w:noWrap w:val="0"/>
            <w:vAlign w:val="center"/>
          </w:tcPr>
          <w:p w14:paraId="44B70D72">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±10%</w:t>
            </w:r>
          </w:p>
        </w:tc>
      </w:tr>
    </w:tbl>
    <w:p w14:paraId="760854F4">
      <w:pPr>
        <w:widowControl w:val="0"/>
        <w:bidi w:val="0"/>
        <w:spacing w:line="360" w:lineRule="auto"/>
        <w:ind w:firstLine="482" w:firstLineChars="200"/>
        <w:jc w:val="left"/>
        <w:outlineLvl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8、硝酸盐氮水质分析仪</w:t>
      </w:r>
    </w:p>
    <w:tbl>
      <w:tblPr>
        <w:tblStyle w:val="53"/>
        <w:tblW w:w="466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82"/>
        <w:gridCol w:w="4584"/>
      </w:tblGrid>
      <w:tr w14:paraId="2F8D3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385" w:type="pct"/>
            <w:tcBorders>
              <w:top w:val="single" w:color="auto" w:sz="8" w:space="0"/>
              <w:bottom w:val="single" w:color="auto" w:sz="8" w:space="0"/>
            </w:tcBorders>
            <w:noWrap w:val="0"/>
            <w:vAlign w:val="center"/>
          </w:tcPr>
          <w:p w14:paraId="0CD3AA4E">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项   目</w:t>
            </w:r>
          </w:p>
        </w:tc>
        <w:tc>
          <w:tcPr>
            <w:tcW w:w="2614" w:type="pct"/>
            <w:tcBorders>
              <w:top w:val="single" w:color="auto" w:sz="8" w:space="0"/>
              <w:bottom w:val="single" w:color="auto" w:sz="8" w:space="0"/>
            </w:tcBorders>
            <w:noWrap w:val="0"/>
            <w:vAlign w:val="center"/>
          </w:tcPr>
          <w:p w14:paraId="02895BC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技术指标</w:t>
            </w:r>
          </w:p>
        </w:tc>
      </w:tr>
      <w:tr w14:paraId="55CFB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8" w:space="0"/>
              <w:bottom w:val="single" w:color="auto" w:sz="8" w:space="0"/>
            </w:tcBorders>
            <w:noWrap w:val="0"/>
            <w:vAlign w:val="center"/>
          </w:tcPr>
          <w:p w14:paraId="62A24EED">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参数</w:t>
            </w:r>
          </w:p>
        </w:tc>
        <w:tc>
          <w:tcPr>
            <w:tcW w:w="2614" w:type="pct"/>
            <w:tcBorders>
              <w:top w:val="single" w:color="auto" w:sz="8" w:space="0"/>
              <w:bottom w:val="single" w:color="auto" w:sz="8" w:space="0"/>
            </w:tcBorders>
            <w:noWrap w:val="0"/>
            <w:vAlign w:val="center"/>
          </w:tcPr>
          <w:p w14:paraId="63B68F5B">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硝酸盐氮</w:t>
            </w:r>
          </w:p>
        </w:tc>
      </w:tr>
      <w:tr w14:paraId="1BA66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8" w:space="0"/>
              <w:bottom w:val="single" w:color="auto" w:sz="8" w:space="0"/>
            </w:tcBorders>
            <w:noWrap w:val="0"/>
            <w:vAlign w:val="center"/>
          </w:tcPr>
          <w:p w14:paraId="7FC25D7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分析方法</w:t>
            </w:r>
          </w:p>
        </w:tc>
        <w:tc>
          <w:tcPr>
            <w:tcW w:w="2614" w:type="pct"/>
            <w:tcBorders>
              <w:top w:val="single" w:color="auto" w:sz="8" w:space="0"/>
              <w:bottom w:val="single" w:color="auto" w:sz="8" w:space="0"/>
            </w:tcBorders>
            <w:noWrap w:val="0"/>
            <w:vAlign w:val="center"/>
          </w:tcPr>
          <w:p w14:paraId="6079651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紫外分光光度法</w:t>
            </w:r>
          </w:p>
        </w:tc>
      </w:tr>
      <w:tr w14:paraId="48A04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8" w:space="0"/>
            </w:tcBorders>
            <w:noWrap w:val="0"/>
            <w:vAlign w:val="center"/>
          </w:tcPr>
          <w:p w14:paraId="1B48170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测定范围</w:t>
            </w:r>
          </w:p>
        </w:tc>
        <w:tc>
          <w:tcPr>
            <w:tcW w:w="2614" w:type="pct"/>
            <w:tcBorders>
              <w:top w:val="single" w:color="auto" w:sz="8" w:space="0"/>
            </w:tcBorders>
            <w:noWrap w:val="0"/>
            <w:vAlign w:val="center"/>
          </w:tcPr>
          <w:p w14:paraId="4DFD2C17">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0~50mg/L（可扩展）</w:t>
            </w:r>
          </w:p>
        </w:tc>
      </w:tr>
      <w:tr w14:paraId="558F80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bottom w:val="single" w:color="auto" w:sz="4" w:space="0"/>
            </w:tcBorders>
            <w:noWrap w:val="0"/>
            <w:vAlign w:val="center"/>
          </w:tcPr>
          <w:p w14:paraId="6FDF091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准确度</w:t>
            </w:r>
          </w:p>
        </w:tc>
        <w:tc>
          <w:tcPr>
            <w:tcW w:w="2614" w:type="pct"/>
            <w:tcBorders>
              <w:bottom w:val="single" w:color="auto" w:sz="4" w:space="0"/>
            </w:tcBorders>
            <w:noWrap w:val="0"/>
            <w:vAlign w:val="top"/>
          </w:tcPr>
          <w:p w14:paraId="773EBA8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02C6E0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5" w:type="pct"/>
            <w:tcBorders>
              <w:top w:val="single" w:color="auto" w:sz="4" w:space="0"/>
              <w:bottom w:val="single" w:color="auto" w:sz="4" w:space="0"/>
            </w:tcBorders>
            <w:noWrap w:val="0"/>
            <w:vAlign w:val="center"/>
          </w:tcPr>
          <w:p w14:paraId="20EDF456">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重复性</w:t>
            </w:r>
          </w:p>
        </w:tc>
        <w:tc>
          <w:tcPr>
            <w:tcW w:w="2614" w:type="pct"/>
            <w:tcBorders>
              <w:top w:val="single" w:color="auto" w:sz="4" w:space="0"/>
              <w:bottom w:val="single" w:color="auto" w:sz="4" w:space="0"/>
            </w:tcBorders>
            <w:noWrap w:val="0"/>
            <w:vAlign w:val="top"/>
          </w:tcPr>
          <w:p w14:paraId="72E9D2D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28256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4" w:space="0"/>
              <w:bottom w:val="single" w:color="auto" w:sz="4" w:space="0"/>
            </w:tcBorders>
            <w:noWrap w:val="0"/>
            <w:vAlign w:val="center"/>
          </w:tcPr>
          <w:p w14:paraId="60D704C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零点漂移</w:t>
            </w:r>
          </w:p>
        </w:tc>
        <w:tc>
          <w:tcPr>
            <w:tcW w:w="2614" w:type="pct"/>
            <w:tcBorders>
              <w:top w:val="single" w:color="auto" w:sz="4" w:space="0"/>
              <w:bottom w:val="single" w:color="auto" w:sz="4" w:space="0"/>
            </w:tcBorders>
            <w:noWrap w:val="0"/>
            <w:vAlign w:val="top"/>
          </w:tcPr>
          <w:p w14:paraId="22A654D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5650D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5" w:type="pct"/>
            <w:tcBorders>
              <w:top w:val="single" w:color="auto" w:sz="4" w:space="0"/>
              <w:bottom w:val="single" w:color="auto" w:sz="8" w:space="0"/>
            </w:tcBorders>
            <w:noWrap w:val="0"/>
            <w:vAlign w:val="center"/>
          </w:tcPr>
          <w:p w14:paraId="54F8F069">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量程漂移</w:t>
            </w:r>
          </w:p>
        </w:tc>
        <w:tc>
          <w:tcPr>
            <w:tcW w:w="2614" w:type="pct"/>
            <w:tcBorders>
              <w:top w:val="single" w:color="auto" w:sz="4" w:space="0"/>
              <w:bottom w:val="single" w:color="auto" w:sz="8" w:space="0"/>
            </w:tcBorders>
            <w:noWrap w:val="0"/>
            <w:vAlign w:val="top"/>
          </w:tcPr>
          <w:p w14:paraId="4617CEF2">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±3%</w:t>
            </w:r>
          </w:p>
        </w:tc>
      </w:tr>
      <w:tr w14:paraId="60083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8" w:space="0"/>
              <w:bottom w:val="single" w:color="auto" w:sz="8" w:space="0"/>
            </w:tcBorders>
            <w:noWrap w:val="0"/>
            <w:vAlign w:val="center"/>
          </w:tcPr>
          <w:p w14:paraId="1C9A701C">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检出限</w:t>
            </w:r>
          </w:p>
        </w:tc>
        <w:tc>
          <w:tcPr>
            <w:tcW w:w="2614" w:type="pct"/>
            <w:tcBorders>
              <w:top w:val="single" w:color="auto" w:sz="8" w:space="0"/>
              <w:bottom w:val="single" w:color="auto" w:sz="8" w:space="0"/>
            </w:tcBorders>
            <w:noWrap w:val="0"/>
            <w:vAlign w:val="center"/>
          </w:tcPr>
          <w:p w14:paraId="51D61E47">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≤0.05mg/L</w:t>
            </w:r>
          </w:p>
        </w:tc>
      </w:tr>
      <w:tr w14:paraId="6140A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8" w:space="0"/>
            </w:tcBorders>
            <w:noWrap w:val="0"/>
            <w:vAlign w:val="center"/>
          </w:tcPr>
          <w:p w14:paraId="00A3F1E9">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实际水样比对试验</w:t>
            </w:r>
          </w:p>
        </w:tc>
        <w:tc>
          <w:tcPr>
            <w:tcW w:w="2614" w:type="pct"/>
            <w:tcBorders>
              <w:top w:val="single" w:color="auto" w:sz="8" w:space="0"/>
            </w:tcBorders>
            <w:noWrap w:val="0"/>
            <w:vAlign w:val="center"/>
          </w:tcPr>
          <w:p w14:paraId="6A63CA6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≤8%</w:t>
            </w:r>
          </w:p>
        </w:tc>
      </w:tr>
      <w:tr w14:paraId="62FAA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bottom w:val="single" w:color="auto" w:sz="4" w:space="0"/>
            </w:tcBorders>
            <w:noWrap w:val="0"/>
            <w:vAlign w:val="center"/>
          </w:tcPr>
          <w:p w14:paraId="62C9CDD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分辨率</w:t>
            </w:r>
          </w:p>
        </w:tc>
        <w:tc>
          <w:tcPr>
            <w:tcW w:w="2614" w:type="pct"/>
            <w:tcBorders>
              <w:bottom w:val="single" w:color="auto" w:sz="4" w:space="0"/>
            </w:tcBorders>
            <w:noWrap w:val="0"/>
            <w:vAlign w:val="center"/>
          </w:tcPr>
          <w:p w14:paraId="2BD03301">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0.001mg/L</w:t>
            </w:r>
          </w:p>
        </w:tc>
      </w:tr>
      <w:tr w14:paraId="21C9A2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385" w:type="pct"/>
            <w:tcBorders>
              <w:top w:val="single" w:color="auto" w:sz="4" w:space="0"/>
              <w:bottom w:val="single" w:color="auto" w:sz="4" w:space="0"/>
            </w:tcBorders>
            <w:noWrap w:val="0"/>
            <w:vAlign w:val="center"/>
          </w:tcPr>
          <w:p w14:paraId="5ED0D2E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测量时间</w:t>
            </w:r>
          </w:p>
        </w:tc>
        <w:tc>
          <w:tcPr>
            <w:tcW w:w="2614" w:type="pct"/>
            <w:tcBorders>
              <w:top w:val="single" w:color="auto" w:sz="4" w:space="0"/>
              <w:bottom w:val="single" w:color="auto" w:sz="4" w:space="0"/>
            </w:tcBorders>
            <w:noWrap w:val="0"/>
            <w:vAlign w:val="center"/>
          </w:tcPr>
          <w:p w14:paraId="66DF7EE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≤20min</w:t>
            </w:r>
          </w:p>
        </w:tc>
      </w:tr>
      <w:tr w14:paraId="7DDD61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5" w:type="pct"/>
            <w:tcBorders>
              <w:top w:val="single" w:color="auto" w:sz="4" w:space="0"/>
              <w:bottom w:val="single" w:color="auto" w:sz="4" w:space="0"/>
            </w:tcBorders>
            <w:noWrap w:val="0"/>
            <w:vAlign w:val="center"/>
          </w:tcPr>
          <w:p w14:paraId="2DC6FBD8">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平均无故障运行时间</w:t>
            </w:r>
          </w:p>
        </w:tc>
        <w:tc>
          <w:tcPr>
            <w:tcW w:w="2614" w:type="pct"/>
            <w:tcBorders>
              <w:top w:val="single" w:color="auto" w:sz="4" w:space="0"/>
              <w:bottom w:val="single" w:color="auto" w:sz="4" w:space="0"/>
            </w:tcBorders>
            <w:noWrap w:val="0"/>
            <w:vAlign w:val="center"/>
          </w:tcPr>
          <w:p w14:paraId="71F39DA3">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≥1440h/次</w:t>
            </w:r>
          </w:p>
        </w:tc>
      </w:tr>
      <w:tr w14:paraId="50928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5" w:type="pct"/>
            <w:tcBorders>
              <w:top w:val="single" w:color="auto" w:sz="4" w:space="0"/>
              <w:bottom w:val="single" w:color="auto" w:sz="8" w:space="0"/>
            </w:tcBorders>
            <w:noWrap w:val="0"/>
            <w:vAlign w:val="center"/>
          </w:tcPr>
          <w:p w14:paraId="4151A1AA">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电压稳定性</w:t>
            </w:r>
          </w:p>
        </w:tc>
        <w:tc>
          <w:tcPr>
            <w:tcW w:w="2614" w:type="pct"/>
            <w:tcBorders>
              <w:top w:val="single" w:color="auto" w:sz="4" w:space="0"/>
              <w:bottom w:val="single" w:color="auto" w:sz="8" w:space="0"/>
            </w:tcBorders>
            <w:noWrap w:val="0"/>
            <w:vAlign w:val="center"/>
          </w:tcPr>
          <w:p w14:paraId="3A44F86F">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±5%</w:t>
            </w:r>
          </w:p>
        </w:tc>
      </w:tr>
      <w:tr w14:paraId="064F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2385" w:type="pct"/>
            <w:tcBorders>
              <w:top w:val="single" w:color="auto" w:sz="4" w:space="0"/>
              <w:bottom w:val="single" w:color="auto" w:sz="4" w:space="0"/>
            </w:tcBorders>
            <w:noWrap w:val="0"/>
            <w:vAlign w:val="center"/>
          </w:tcPr>
          <w:p w14:paraId="6A508C8D">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环境温度稳定性</w:t>
            </w:r>
          </w:p>
        </w:tc>
        <w:tc>
          <w:tcPr>
            <w:tcW w:w="2614" w:type="pct"/>
            <w:tcBorders>
              <w:top w:val="single" w:color="auto" w:sz="4" w:space="0"/>
              <w:bottom w:val="single" w:color="auto" w:sz="4" w:space="0"/>
            </w:tcBorders>
            <w:noWrap w:val="0"/>
            <w:vAlign w:val="center"/>
          </w:tcPr>
          <w:p w14:paraId="65D39605">
            <w:pPr>
              <w:spacing w:line="360" w:lineRule="auto"/>
              <w:rPr>
                <w:rFonts w:hint="eastAsia" w:ascii="Times New Roman" w:hAnsi="Times New Roman" w:eastAsia="宋体" w:cs="Times New Roman"/>
                <w:kern w:val="2"/>
                <w:sz w:val="24"/>
                <w:szCs w:val="24"/>
                <w:lang w:val="en-US" w:eastAsia="zh-CN"/>
              </w:rPr>
            </w:pPr>
            <w:r>
              <w:rPr>
                <w:rFonts w:hint="eastAsia" w:ascii="Times New Roman" w:hAnsi="Times New Roman" w:eastAsia="宋体" w:cs="Times New Roman"/>
                <w:kern w:val="2"/>
                <w:sz w:val="24"/>
                <w:szCs w:val="24"/>
                <w:lang w:val="en-US" w:eastAsia="zh-CN"/>
              </w:rPr>
              <w:t>±10%</w:t>
            </w:r>
          </w:p>
        </w:tc>
      </w:tr>
    </w:tbl>
    <w:p w14:paraId="334B70B2">
      <w:pPr>
        <w:keepNext/>
        <w:keepLines/>
        <w:widowControl w:val="0"/>
        <w:bidi w:val="0"/>
        <w:spacing w:before="260" w:beforeLines="0" w:after="260" w:afterLines="0"/>
        <w:jc w:val="both"/>
        <w:outlineLvl w:val="1"/>
        <w:rPr>
          <w:rFonts w:hint="eastAsia" w:ascii="Arial" w:hAnsi="Arial" w:eastAsia="宋体" w:cs="方正仿宋_GBK"/>
          <w:b/>
          <w:kern w:val="2"/>
          <w:sz w:val="24"/>
          <w:szCs w:val="32"/>
          <w:lang w:val="en-US" w:eastAsia="zh-CN" w:bidi="ar-SA"/>
        </w:rPr>
      </w:pPr>
      <w:r>
        <w:rPr>
          <w:rFonts w:hint="eastAsia" w:ascii="Arial" w:hAnsi="Arial" w:eastAsia="宋体" w:cs="方正仿宋_GBK"/>
          <w:b/>
          <w:kern w:val="2"/>
          <w:sz w:val="24"/>
          <w:szCs w:val="32"/>
          <w:lang w:val="en-US" w:eastAsia="zh-CN" w:bidi="ar-SA"/>
        </w:rPr>
        <w:t>（</w:t>
      </w:r>
      <w:r>
        <w:rPr>
          <w:rFonts w:hint="eastAsia" w:ascii="Arial" w:hAnsi="Arial" w:cs="方正仿宋_GBK"/>
          <w:b/>
          <w:kern w:val="2"/>
          <w:sz w:val="24"/>
          <w:szCs w:val="32"/>
          <w:lang w:val="en-US" w:eastAsia="zh-CN" w:bidi="ar-SA"/>
        </w:rPr>
        <w:t>五</w:t>
      </w:r>
      <w:r>
        <w:rPr>
          <w:rFonts w:hint="eastAsia" w:ascii="Arial" w:hAnsi="Arial" w:eastAsia="宋体" w:cs="方正仿宋_GBK"/>
          <w:b/>
          <w:kern w:val="2"/>
          <w:sz w:val="24"/>
          <w:szCs w:val="32"/>
          <w:lang w:val="en-US" w:eastAsia="zh-CN" w:bidi="ar-SA"/>
        </w:rPr>
        <w:t>）系统集成要求</w:t>
      </w:r>
    </w:p>
    <w:p w14:paraId="2330DD40">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1、采水单元</w:t>
      </w:r>
    </w:p>
    <w:p w14:paraId="71D5DA29">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采水方式：浮筒/船/浮标式 </w:t>
      </w:r>
    </w:p>
    <w:p w14:paraId="54E0B8D1">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采水设计：具备双泵/双管路轮换功能，配置双泵/双管路采水，一备一用；可进行自动或手动切换，满足实时不间断监测的要求。具有管道反冲洗和自动排空管道功能，采水完成后系统自动排空管道并清洗，清洗过程不对环境造成污染。除藻装置可以定期自动或手动操作，配合清洗水和压缩空气，通过控制总管路及配水管路的电动阀门，可分别对外部采水管路和内部配水进行反冲洗，以防止管路堵塞，并达到对管路的除藻作用。确保采水位置在水面下0.5米至1米之间。 </w:t>
      </w:r>
    </w:p>
    <w:p w14:paraId="70DCF00D">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采水泵：满足建设点位落差和输送距离、输送压力的要求。 </w:t>
      </w:r>
    </w:p>
    <w:p w14:paraId="3B066F7C">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采水管道：材质应有足够的强度，可以承受内压和外载荷，具有极好的化学稳定性、重量轻、耐磨耗和耐油性强。设有压力监控装置，控制单元通过该装置实时监控采水单元的运行状态。 </w:t>
      </w:r>
    </w:p>
    <w:p w14:paraId="4284057D">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采水管路均采用保温措施，采样管与电缆置于同一套管内，埋地部分埋入冻土层以下（不少于30cm）或安装于水泥堰槽内，按规定实施保温、防冻、防冰凌措施，管路外部安装保温套管进行隔热处理，外部套管保护应具有极好的物理化学稳定性。</w:t>
      </w:r>
    </w:p>
    <w:p w14:paraId="3AB86BE5">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根据每个点位具体的水文、地形和地质情况进行合理的采水方案设计。 </w:t>
      </w:r>
    </w:p>
    <w:p w14:paraId="73D32268">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2、配水和预处理单元要求</w:t>
      </w:r>
    </w:p>
    <w:p w14:paraId="3D30E470">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投标人应提供针对性的配水和预处理方案。</w:t>
      </w:r>
    </w:p>
    <w:p w14:paraId="484B627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配水及预处理单元由水样分配单元、预处理装置及管道等组成。实现对分析仪器配水的功能，并具有自动反清（吹）洗和自动除藻功能。预处理单元为不同分析仪器配备预处理装置，常规五参数使用原水直接分析，应根据国家标准分析方法要求对高锰酸盐指数、氨氮、总氮、总磷分析仪器提供相应的预处理方法。</w:t>
      </w:r>
    </w:p>
    <w:p w14:paraId="1BF50AA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（1）配水管路设计合理，流向清晰，便于维护；保证仪器分析测试的水样应能代表断面水质情况并满足仪器测试需求。</w:t>
      </w:r>
    </w:p>
    <w:p w14:paraId="1BA79055">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（2）配水单元具备自动反清（吹）洗功能，防止菌类和藻类等微生物对样品污染或对系统工作造成不良影响，设计中不使用对环境产生污染的清洗方法。</w:t>
      </w:r>
    </w:p>
    <w:p w14:paraId="50A4450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（3）配水主管路采用串联方式，各仪器之间管路采用并联方式，每台仪器从各自的取样杯中取水，任何仪器的配水管路出现故障不能影响其他仪器的测试。</w:t>
      </w:r>
    </w:p>
    <w:p w14:paraId="0EA6C16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（4）具备可扩展功能，水站预留不少于4台设备的接水口、排水口以及水样比对实验用的手动取水口。</w:t>
      </w:r>
    </w:p>
    <w:p w14:paraId="7679361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（5）能配合系统实现水样自动分配、自动预处理、故障自动报警、关键部件工作状态的显示和反控等功能。</w:t>
      </w:r>
    </w:p>
    <w:p w14:paraId="538C448B">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（6）配水单元的所有操作均可通过控制单元实现，并接受平台端的远程控制。</w:t>
      </w:r>
    </w:p>
    <w:p w14:paraId="15AC1D3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（7）所选管材机械强度及化学稳定性好、使用寿命长、便于安装维护，不会对水样水质造成影响；管路内径、压力、流量、流速满足仪器分析需要，并留有余量。</w:t>
      </w:r>
    </w:p>
    <w:p w14:paraId="2AD0DCD3">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（8）针对泥沙较大水体、暴雨期间、泄洪、丰水期等浊度影响较大的情况，系统应针对性</w:t>
      </w:r>
      <w:r>
        <w:rPr>
          <w:rFonts w:hint="eastAsia" w:ascii="宋体" w:hAnsi="宋体" w:cs="宋体"/>
          <w:b w:val="0"/>
          <w:bCs w:val="0"/>
          <w:kern w:val="2"/>
          <w:sz w:val="24"/>
          <w:szCs w:val="24"/>
          <w:lang w:val="en-US" w:eastAsia="zh-CN"/>
        </w:rPr>
        <w:t>地</w:t>
      </w:r>
      <w:r>
        <w:rPr>
          <w:rFonts w:hint="default" w:ascii="宋体" w:hAnsi="宋体" w:eastAsia="宋体" w:cs="宋体"/>
          <w:b w:val="0"/>
          <w:bCs w:val="0"/>
          <w:kern w:val="2"/>
          <w:sz w:val="24"/>
          <w:szCs w:val="24"/>
          <w:lang w:val="en-US" w:eastAsia="zh-CN"/>
        </w:rPr>
        <w:t>设计预处理旁路系统，并具备自动切换预处理系统工作功能。</w:t>
      </w:r>
    </w:p>
    <w:p w14:paraId="7D53745B">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3、控制单元</w:t>
      </w:r>
    </w:p>
    <w:p w14:paraId="5E0C120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控制单元对采水单元、配水及预处理单元、分析单元、留样单元、辅助单元等进行控制，并实现数据采集与传输功能，保证系统连续、可靠和安全运行。</w:t>
      </w:r>
    </w:p>
    <w:p w14:paraId="4CD8215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功能要求</w:t>
      </w:r>
      <w:r>
        <w:rPr>
          <w:rFonts w:hint="eastAsia" w:ascii="宋体" w:hAnsi="宋体" w:eastAsia="宋体" w:cs="宋体"/>
          <w:b w:val="0"/>
          <w:bCs w:val="0"/>
          <w:kern w:val="2"/>
          <w:sz w:val="24"/>
          <w:szCs w:val="24"/>
          <w:lang w:val="en-US" w:eastAsia="zh-CN"/>
        </w:rPr>
        <w:t>：</w:t>
      </w:r>
    </w:p>
    <w:p w14:paraId="2BE99CA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（1）具有断电保护功能，能够在断电时保存系统参数和历史数据，在来电时自动恢复系统。</w:t>
      </w:r>
    </w:p>
    <w:p w14:paraId="31013639">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（2）具备自动采集数据功能，包括自动采集水质自动分析仪器数据、集成控制数据等，采集的数据应自动添加数据标识，异常监测数据能自动识别，并主动上传至中心平台。</w:t>
      </w:r>
    </w:p>
    <w:p w14:paraId="7A7972F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（3）具备单点控制功能，能够对单一控制点（阀、泵等）进行调试。</w:t>
      </w:r>
    </w:p>
    <w:p w14:paraId="0296976A">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（4）具备对自动分析仪器的启停、校时、校准、质控测试等控制功能。</w:t>
      </w:r>
    </w:p>
    <w:p w14:paraId="74C696B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（5）具备对留样单元的留样、排样的控制功能。</w:t>
      </w:r>
    </w:p>
    <w:p w14:paraId="73AD7458">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（6）能够兼容视频监控设备并能实现对视频设备进行校时、重新启动、参数设置、软件升级、远程维护等功能。</w:t>
      </w:r>
    </w:p>
    <w:p w14:paraId="5474DD5C">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（7）具备参数设置功能，能够对小数位、单位、仪器测定上下限、报警（超标）上下限等参数进行设置。</w:t>
      </w:r>
    </w:p>
    <w:p w14:paraId="4FE785E7">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（8）具备各仪器监测结果、状态参数、运行流程、报警信息等显示的功能。</w:t>
      </w:r>
    </w:p>
    <w:p w14:paraId="54DFAD0C">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（9）具有监测数据查询、导出、自动备份功能，可分类查询水质周期数据、质控数据（空白测试数据、标样核查数据、加标回收率数据等）及其对应的仪器、系统日志流程信息。</w:t>
      </w:r>
    </w:p>
    <w:p w14:paraId="604D9BA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硬件设备技术参数</w:t>
      </w:r>
      <w:r>
        <w:rPr>
          <w:rFonts w:hint="eastAsia" w:ascii="宋体" w:hAnsi="宋体" w:eastAsia="宋体" w:cs="宋体"/>
          <w:b w:val="0"/>
          <w:bCs w:val="0"/>
          <w:kern w:val="2"/>
          <w:sz w:val="24"/>
          <w:szCs w:val="24"/>
          <w:lang w:val="en-US" w:eastAsia="zh-CN"/>
        </w:rPr>
        <w:t>：</w:t>
      </w:r>
    </w:p>
    <w:p w14:paraId="15D75588">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（1）工业控制计算机</w:t>
      </w:r>
    </w:p>
    <w:tbl>
      <w:tblPr>
        <w:tblStyle w:val="53"/>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575"/>
        <w:gridCol w:w="6016"/>
      </w:tblGrid>
      <w:tr w14:paraId="7DA8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7" w:type="dxa"/>
            <w:noWrap w:val="0"/>
            <w:vAlign w:val="center"/>
          </w:tcPr>
          <w:p w14:paraId="5ED646EA">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序号</w:t>
            </w:r>
          </w:p>
        </w:tc>
        <w:tc>
          <w:tcPr>
            <w:tcW w:w="1575" w:type="dxa"/>
            <w:noWrap w:val="0"/>
            <w:vAlign w:val="center"/>
          </w:tcPr>
          <w:p w14:paraId="3D17D0AA">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指标名称</w:t>
            </w:r>
          </w:p>
        </w:tc>
        <w:tc>
          <w:tcPr>
            <w:tcW w:w="6016" w:type="dxa"/>
            <w:noWrap w:val="0"/>
            <w:vAlign w:val="center"/>
          </w:tcPr>
          <w:p w14:paraId="1A4FC1D2">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性能指标</w:t>
            </w:r>
          </w:p>
        </w:tc>
      </w:tr>
      <w:tr w14:paraId="4A30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7" w:type="dxa"/>
            <w:noWrap w:val="0"/>
            <w:vAlign w:val="center"/>
          </w:tcPr>
          <w:p w14:paraId="51E06EFE">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w:t>
            </w:r>
          </w:p>
        </w:tc>
        <w:tc>
          <w:tcPr>
            <w:tcW w:w="1575" w:type="dxa"/>
            <w:noWrap w:val="0"/>
            <w:vAlign w:val="center"/>
          </w:tcPr>
          <w:p w14:paraId="0C5E3B72">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CPU</w:t>
            </w:r>
          </w:p>
        </w:tc>
        <w:tc>
          <w:tcPr>
            <w:tcW w:w="6016" w:type="dxa"/>
            <w:noWrap w:val="0"/>
            <w:vAlign w:val="center"/>
          </w:tcPr>
          <w:p w14:paraId="12D303DD">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≥2.0GHz</w:t>
            </w:r>
          </w:p>
        </w:tc>
      </w:tr>
      <w:tr w14:paraId="0812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7" w:type="dxa"/>
            <w:noWrap w:val="0"/>
            <w:vAlign w:val="center"/>
          </w:tcPr>
          <w:p w14:paraId="6F524EE8">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w:t>
            </w:r>
          </w:p>
        </w:tc>
        <w:tc>
          <w:tcPr>
            <w:tcW w:w="1575" w:type="dxa"/>
            <w:noWrap w:val="0"/>
            <w:vAlign w:val="center"/>
          </w:tcPr>
          <w:p w14:paraId="4AA858AE">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内存</w:t>
            </w:r>
          </w:p>
        </w:tc>
        <w:tc>
          <w:tcPr>
            <w:tcW w:w="6016" w:type="dxa"/>
            <w:noWrap w:val="0"/>
            <w:vAlign w:val="center"/>
          </w:tcPr>
          <w:p w14:paraId="5382FAD0">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≥2GB</w:t>
            </w:r>
          </w:p>
        </w:tc>
      </w:tr>
      <w:tr w14:paraId="0D04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7" w:type="dxa"/>
            <w:noWrap w:val="0"/>
            <w:vAlign w:val="center"/>
          </w:tcPr>
          <w:p w14:paraId="06203651">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3</w:t>
            </w:r>
          </w:p>
        </w:tc>
        <w:tc>
          <w:tcPr>
            <w:tcW w:w="1575" w:type="dxa"/>
            <w:noWrap w:val="0"/>
            <w:vAlign w:val="center"/>
          </w:tcPr>
          <w:p w14:paraId="51D9A104">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硬盘容量</w:t>
            </w:r>
          </w:p>
        </w:tc>
        <w:tc>
          <w:tcPr>
            <w:tcW w:w="6016" w:type="dxa"/>
            <w:noWrap w:val="0"/>
            <w:vAlign w:val="center"/>
          </w:tcPr>
          <w:p w14:paraId="27B7A78F">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≥500GB</w:t>
            </w:r>
          </w:p>
        </w:tc>
      </w:tr>
      <w:tr w14:paraId="418A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07" w:type="dxa"/>
            <w:noWrap w:val="0"/>
            <w:vAlign w:val="center"/>
          </w:tcPr>
          <w:p w14:paraId="177A79E3">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4</w:t>
            </w:r>
          </w:p>
        </w:tc>
        <w:tc>
          <w:tcPr>
            <w:tcW w:w="1575" w:type="dxa"/>
            <w:noWrap w:val="0"/>
            <w:vAlign w:val="center"/>
          </w:tcPr>
          <w:p w14:paraId="42E4BECD">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显示器</w:t>
            </w:r>
          </w:p>
        </w:tc>
        <w:tc>
          <w:tcPr>
            <w:tcW w:w="6016" w:type="dxa"/>
            <w:noWrap w:val="0"/>
            <w:vAlign w:val="center"/>
          </w:tcPr>
          <w:p w14:paraId="05764042">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≥12英寸</w:t>
            </w:r>
          </w:p>
        </w:tc>
      </w:tr>
      <w:tr w14:paraId="1429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907" w:type="dxa"/>
            <w:vMerge w:val="restart"/>
            <w:noWrap w:val="0"/>
            <w:vAlign w:val="center"/>
          </w:tcPr>
          <w:p w14:paraId="5E4E9400">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w:t>
            </w:r>
          </w:p>
        </w:tc>
        <w:tc>
          <w:tcPr>
            <w:tcW w:w="1575" w:type="dxa"/>
            <w:vMerge w:val="restart"/>
            <w:noWrap w:val="0"/>
            <w:vAlign w:val="center"/>
          </w:tcPr>
          <w:p w14:paraId="2CC950CC">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通讯接口</w:t>
            </w:r>
          </w:p>
        </w:tc>
        <w:tc>
          <w:tcPr>
            <w:tcW w:w="6016" w:type="dxa"/>
            <w:noWrap w:val="0"/>
            <w:vAlign w:val="center"/>
          </w:tcPr>
          <w:p w14:paraId="72DE196A">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RS232/485 COM口，不小于8个</w:t>
            </w:r>
          </w:p>
        </w:tc>
      </w:tr>
      <w:tr w14:paraId="2B43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07" w:type="dxa"/>
            <w:vMerge w:val="continue"/>
            <w:noWrap w:val="0"/>
            <w:vAlign w:val="center"/>
          </w:tcPr>
          <w:p w14:paraId="3E9948EC">
            <w:pPr>
              <w:spacing w:line="360" w:lineRule="auto"/>
              <w:ind w:firstLine="480" w:firstLineChars="200"/>
              <w:jc w:val="both"/>
              <w:rPr>
                <w:rFonts w:hint="eastAsia" w:ascii="宋体" w:hAnsi="宋体" w:eastAsia="宋体" w:cs="宋体"/>
                <w:b w:val="0"/>
                <w:bCs w:val="0"/>
                <w:kern w:val="2"/>
                <w:sz w:val="24"/>
                <w:szCs w:val="24"/>
                <w:lang w:val="en-US" w:eastAsia="zh-CN"/>
              </w:rPr>
            </w:pPr>
          </w:p>
        </w:tc>
        <w:tc>
          <w:tcPr>
            <w:tcW w:w="1575" w:type="dxa"/>
            <w:vMerge w:val="continue"/>
            <w:noWrap w:val="0"/>
            <w:vAlign w:val="center"/>
          </w:tcPr>
          <w:p w14:paraId="1F8572BA">
            <w:pPr>
              <w:spacing w:line="360" w:lineRule="auto"/>
              <w:ind w:firstLine="480" w:firstLineChars="200"/>
              <w:jc w:val="both"/>
              <w:rPr>
                <w:rFonts w:hint="eastAsia" w:ascii="宋体" w:hAnsi="宋体" w:eastAsia="宋体" w:cs="宋体"/>
                <w:b w:val="0"/>
                <w:bCs w:val="0"/>
                <w:kern w:val="2"/>
                <w:sz w:val="24"/>
                <w:szCs w:val="24"/>
                <w:lang w:val="en-US" w:eastAsia="zh-CN"/>
              </w:rPr>
            </w:pPr>
          </w:p>
        </w:tc>
        <w:tc>
          <w:tcPr>
            <w:tcW w:w="6016" w:type="dxa"/>
            <w:noWrap w:val="0"/>
            <w:vAlign w:val="center"/>
          </w:tcPr>
          <w:p w14:paraId="10AA0F67">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网口，不少于2个</w:t>
            </w:r>
          </w:p>
        </w:tc>
      </w:tr>
    </w:tbl>
    <w:p w14:paraId="76433936">
      <w:pPr>
        <w:spacing w:line="360" w:lineRule="auto"/>
        <w:ind w:firstLine="480" w:firstLineChars="200"/>
        <w:jc w:val="left"/>
        <w:rPr>
          <w:rFonts w:hint="default" w:ascii="宋体" w:hAnsi="宋体" w:eastAsia="宋体" w:cs="宋体"/>
          <w:b w:val="0"/>
          <w:bCs w:val="0"/>
          <w:kern w:val="2"/>
          <w:sz w:val="24"/>
          <w:szCs w:val="24"/>
          <w:lang w:val="en-US" w:eastAsia="zh-CN"/>
        </w:rPr>
      </w:pPr>
    </w:p>
    <w:p w14:paraId="11978E4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（2）可编程控制器</w:t>
      </w:r>
    </w:p>
    <w:tbl>
      <w:tblPr>
        <w:tblStyle w:val="53"/>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567"/>
        <w:gridCol w:w="5962"/>
      </w:tblGrid>
      <w:tr w14:paraId="2FD5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90" w:type="dxa"/>
            <w:noWrap w:val="0"/>
            <w:vAlign w:val="center"/>
          </w:tcPr>
          <w:p w14:paraId="095E1912">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序号</w:t>
            </w:r>
          </w:p>
        </w:tc>
        <w:tc>
          <w:tcPr>
            <w:tcW w:w="1567" w:type="dxa"/>
            <w:noWrap w:val="0"/>
            <w:vAlign w:val="center"/>
          </w:tcPr>
          <w:p w14:paraId="54593EC5">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指标名称</w:t>
            </w:r>
          </w:p>
        </w:tc>
        <w:tc>
          <w:tcPr>
            <w:tcW w:w="5962" w:type="dxa"/>
            <w:noWrap w:val="0"/>
            <w:vAlign w:val="center"/>
          </w:tcPr>
          <w:p w14:paraId="6D33185E">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性能指标</w:t>
            </w:r>
          </w:p>
        </w:tc>
      </w:tr>
      <w:tr w14:paraId="29B8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90" w:type="dxa"/>
            <w:noWrap w:val="0"/>
            <w:vAlign w:val="center"/>
          </w:tcPr>
          <w:p w14:paraId="1B673052">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w:t>
            </w:r>
          </w:p>
        </w:tc>
        <w:tc>
          <w:tcPr>
            <w:tcW w:w="1567" w:type="dxa"/>
            <w:noWrap w:val="0"/>
            <w:vAlign w:val="center"/>
          </w:tcPr>
          <w:p w14:paraId="267A22DB">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扩展能力</w:t>
            </w:r>
          </w:p>
        </w:tc>
        <w:tc>
          <w:tcPr>
            <w:tcW w:w="5962" w:type="dxa"/>
            <w:noWrap w:val="0"/>
            <w:vAlign w:val="center"/>
          </w:tcPr>
          <w:p w14:paraId="469EDDF7">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控制器输入输出接口满足需求且余量不少于4路，以便以后扩展。</w:t>
            </w:r>
          </w:p>
        </w:tc>
      </w:tr>
      <w:tr w14:paraId="46B3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90" w:type="dxa"/>
            <w:noWrap w:val="0"/>
            <w:vAlign w:val="center"/>
          </w:tcPr>
          <w:p w14:paraId="3C06C79E">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w:t>
            </w:r>
          </w:p>
        </w:tc>
        <w:tc>
          <w:tcPr>
            <w:tcW w:w="1567" w:type="dxa"/>
            <w:noWrap w:val="0"/>
            <w:vAlign w:val="center"/>
          </w:tcPr>
          <w:p w14:paraId="1E837A21">
            <w:pPr>
              <w:spacing w:line="360" w:lineRule="auto"/>
              <w:jc w:val="center"/>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防雷抗干扰能力</w:t>
            </w:r>
          </w:p>
        </w:tc>
        <w:tc>
          <w:tcPr>
            <w:tcW w:w="5962" w:type="dxa"/>
            <w:noWrap w:val="0"/>
            <w:vAlign w:val="center"/>
          </w:tcPr>
          <w:p w14:paraId="688FA86A">
            <w:pPr>
              <w:spacing w:line="360" w:lineRule="auto"/>
              <w:jc w:val="both"/>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符合抗电磁辐射、电磁感应的相关规定，具备电源隔离和信号隔离措施。</w:t>
            </w:r>
          </w:p>
        </w:tc>
      </w:tr>
    </w:tbl>
    <w:p w14:paraId="0FEA0EC8">
      <w:pPr>
        <w:spacing w:line="360" w:lineRule="auto"/>
        <w:ind w:firstLine="480" w:firstLineChars="200"/>
        <w:jc w:val="left"/>
        <w:rPr>
          <w:rFonts w:hint="default" w:ascii="宋体" w:hAnsi="宋体" w:eastAsia="宋体" w:cs="宋体"/>
          <w:b w:val="0"/>
          <w:bCs w:val="0"/>
          <w:kern w:val="2"/>
          <w:sz w:val="24"/>
          <w:szCs w:val="24"/>
          <w:lang w:val="en-US" w:eastAsia="zh-CN"/>
        </w:rPr>
      </w:pPr>
    </w:p>
    <w:p w14:paraId="3EAFE92B">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4、辅助单元</w:t>
      </w:r>
    </w:p>
    <w:p w14:paraId="033CA39A">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辅助单元应包含UPS、稳压电源、防雷单元、废液单元、自动灭火装置、试剂恒温装置、纯水机、视频监控等部分。</w:t>
      </w:r>
    </w:p>
    <w:p w14:paraId="55392EC1">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（1）配备UPS（总功率≥3KW，断电后至少能保证仪器完成一个测量周期和数据上传，且待机不少于 1h）、三相稳压电源（功率≥10</w:t>
      </w:r>
      <w:r>
        <w:rPr>
          <w:rFonts w:hint="eastAsia" w:ascii="宋体" w:hAnsi="宋体" w:cs="宋体"/>
          <w:b w:val="0"/>
          <w:bCs w:val="0"/>
          <w:kern w:val="2"/>
          <w:sz w:val="24"/>
          <w:szCs w:val="24"/>
          <w:lang w:val="en-US" w:eastAsia="zh-CN"/>
        </w:rPr>
        <w:t>kW</w:t>
      </w:r>
      <w:r>
        <w:rPr>
          <w:rFonts w:hint="default" w:ascii="宋体" w:hAnsi="宋体" w:eastAsia="宋体" w:cs="宋体"/>
          <w:b w:val="0"/>
          <w:bCs w:val="0"/>
          <w:kern w:val="2"/>
          <w:sz w:val="24"/>
          <w:szCs w:val="24"/>
          <w:lang w:val="en-US" w:eastAsia="zh-CN"/>
        </w:rPr>
        <w:t>）、系统集成机柜、维护专用成套工具等。</w:t>
      </w:r>
    </w:p>
    <w:p w14:paraId="1301070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(2)应保证分析仪器运行时所用的化学试剂处于4±2℃低温保存；不需低温保存的化学试剂保证使用期限不低于1个月。</w:t>
      </w:r>
    </w:p>
    <w:p w14:paraId="15973FC0">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(3)配备废液收集单元，满足两周以上废液量收集。</w:t>
      </w:r>
    </w:p>
    <w:p w14:paraId="6D15EDA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(4) 配备站房门禁系统，并自动记录站房出入。 </w:t>
      </w:r>
    </w:p>
    <w:p w14:paraId="72DF1C1A">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(5)为保证系统稳定、可靠运行，必须具有电源、信号等设施的三级防雷措施。 </w:t>
      </w:r>
    </w:p>
    <w:p w14:paraId="16F95E6C">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 xml:space="preserve">(6)具备自动灭火装置，采用悬挂式灭火器，灭火材料须对人体和设备无害。 </w:t>
      </w:r>
    </w:p>
    <w:p w14:paraId="692D7247">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(7)配备站房温湿度、空调启停状态、电压、烟雾传感器（可连接工控机报警）等必要的辅助设备。</w:t>
      </w:r>
    </w:p>
    <w:p w14:paraId="49FFF13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 xml:space="preserve">(8)视频监控单元 </w:t>
      </w:r>
    </w:p>
    <w:p w14:paraId="37D790FE">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具有实时远程监控功能，可实现全方位、多视角、</w:t>
      </w:r>
      <w:r>
        <w:rPr>
          <w:rFonts w:hint="eastAsia" w:ascii="宋体" w:hAnsi="宋体" w:cs="宋体"/>
          <w:b w:val="0"/>
          <w:bCs w:val="0"/>
          <w:kern w:val="2"/>
          <w:sz w:val="24"/>
          <w:szCs w:val="24"/>
          <w:lang w:val="en-US" w:eastAsia="zh-CN"/>
        </w:rPr>
        <w:t>全天候</w:t>
      </w:r>
      <w:r>
        <w:rPr>
          <w:rFonts w:hint="eastAsia" w:ascii="宋体" w:hAnsi="宋体" w:eastAsia="宋体" w:cs="宋体"/>
          <w:b w:val="0"/>
          <w:bCs w:val="0"/>
          <w:kern w:val="2"/>
          <w:sz w:val="24"/>
          <w:szCs w:val="24"/>
          <w:lang w:val="en-US" w:eastAsia="zh-CN"/>
        </w:rPr>
        <w:t xml:space="preserve">式监控。 </w:t>
      </w:r>
    </w:p>
    <w:p w14:paraId="00455953">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 xml:space="preserve">当出现非法闯入时，报警系统能唤醒摄像机进行视频录制并获取监控区域内清晰的监控图像。 </w:t>
      </w:r>
    </w:p>
    <w:p w14:paraId="3626877B">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 xml:space="preserve">视频监控前端存储，至少满足 1 个月的存储能力。 </w:t>
      </w:r>
    </w:p>
    <w:p w14:paraId="40831429">
      <w:pPr>
        <w:spacing w:line="360" w:lineRule="auto"/>
        <w:ind w:firstLine="480" w:firstLineChars="200"/>
        <w:jc w:val="left"/>
        <w:rPr>
          <w:rFonts w:hint="eastAsia"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 xml:space="preserve">视频监控设备要求：最低分辨率为 1920×1080，可输出实时图像；高效红外灯，照射距离不少于 20 米；具有手机远程监控功能；具有移动侦测、动态分析、越界侦测和区域入侵侦测报警功能。 </w:t>
      </w:r>
    </w:p>
    <w:p w14:paraId="3CDCAB95">
      <w:pPr>
        <w:spacing w:line="360" w:lineRule="auto"/>
        <w:ind w:firstLine="480" w:firstLineChars="200"/>
        <w:jc w:val="left"/>
        <w:rPr>
          <w:rFonts w:hint="eastAsia"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 xml:space="preserve">(9)配备超纯水制备装置： </w:t>
      </w:r>
    </w:p>
    <w:p w14:paraId="0CEDD37D">
      <w:pPr>
        <w:spacing w:line="360" w:lineRule="auto"/>
        <w:ind w:firstLine="480" w:firstLineChars="200"/>
        <w:jc w:val="left"/>
        <w:rPr>
          <w:rFonts w:hint="eastAsia"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 xml:space="preserve">电阻率 17-18.25 MΩ .cm（在线监测） </w:t>
      </w:r>
    </w:p>
    <w:p w14:paraId="626091D4">
      <w:pPr>
        <w:spacing w:line="360" w:lineRule="auto"/>
        <w:ind w:firstLine="480" w:firstLineChars="200"/>
        <w:jc w:val="left"/>
        <w:rPr>
          <w:rFonts w:hint="eastAsia"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 xml:space="preserve">重金属离子＜0.1ppb </w:t>
      </w:r>
    </w:p>
    <w:p w14:paraId="7BFE40B7">
      <w:pPr>
        <w:spacing w:line="360" w:lineRule="auto"/>
        <w:ind w:firstLine="480" w:firstLineChars="200"/>
        <w:jc w:val="left"/>
        <w:rPr>
          <w:rFonts w:hint="eastAsia"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 xml:space="preserve">微颗粒物＜1 个/ml </w:t>
      </w:r>
    </w:p>
    <w:p w14:paraId="71B7D694">
      <w:pPr>
        <w:spacing w:line="360" w:lineRule="auto"/>
        <w:ind w:firstLine="480" w:firstLineChars="200"/>
        <w:jc w:val="left"/>
        <w:rPr>
          <w:rFonts w:hint="default" w:ascii="宋体" w:hAnsi="宋体" w:eastAsia="宋体" w:cs="宋体"/>
          <w:b w:val="0"/>
          <w:bCs w:val="0"/>
          <w:kern w:val="2"/>
          <w:sz w:val="24"/>
          <w:szCs w:val="24"/>
          <w:highlight w:val="none"/>
          <w:lang w:val="en-US" w:eastAsia="zh-CN"/>
        </w:rPr>
      </w:pPr>
      <w:r>
        <w:rPr>
          <w:rFonts w:hint="eastAsia" w:ascii="宋体" w:hAnsi="宋体" w:eastAsia="宋体" w:cs="宋体"/>
          <w:b w:val="0"/>
          <w:bCs w:val="0"/>
          <w:kern w:val="2"/>
          <w:sz w:val="24"/>
          <w:szCs w:val="24"/>
          <w:highlight w:val="none"/>
          <w:lang w:val="en-US" w:eastAsia="zh-CN"/>
        </w:rPr>
        <w:t xml:space="preserve">微生物＜1cfu/ml </w:t>
      </w:r>
    </w:p>
    <w:p w14:paraId="5DF4F43E">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5、留样单元</w:t>
      </w:r>
    </w:p>
    <w:p w14:paraId="256D586B">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具备水样冷藏功能，温度在4±2℃；</w:t>
      </w:r>
    </w:p>
    <w:p w14:paraId="580026D0">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留样瓶数≥12个；</w:t>
      </w:r>
    </w:p>
    <w:p w14:paraId="6D859A04">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留样瓶由惰性材料制成，易清洗；</w:t>
      </w:r>
    </w:p>
    <w:p w14:paraId="29B81061">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留样瓶具有密封功能；</w:t>
      </w:r>
    </w:p>
    <w:p w14:paraId="04663E8D">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具有留样后自动排空的功能；</w:t>
      </w:r>
    </w:p>
    <w:p w14:paraId="7F2DD08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具有留样失败报警功能。</w:t>
      </w:r>
    </w:p>
    <w:p w14:paraId="4A0C31F5">
      <w:pPr>
        <w:widowControl w:val="0"/>
        <w:bidi w:val="0"/>
        <w:spacing w:line="360" w:lineRule="auto"/>
        <w:ind w:firstLine="482" w:firstLineChars="200"/>
        <w:jc w:val="left"/>
        <w:outlineLvl w:val="2"/>
        <w:rPr>
          <w:rFonts w:hint="default" w:ascii="宋体" w:hAnsi="宋体" w:eastAsia="宋体" w:cs="宋体"/>
          <w:b/>
          <w:bCs/>
          <w:kern w:val="2"/>
          <w:sz w:val="24"/>
          <w:szCs w:val="24"/>
          <w:lang w:val="en-US" w:eastAsia="zh-CN" w:bidi="ar-SA"/>
        </w:rPr>
      </w:pPr>
      <w:r>
        <w:rPr>
          <w:rFonts w:hint="default" w:ascii="宋体" w:hAnsi="宋体" w:eastAsia="宋体" w:cs="宋体"/>
          <w:b/>
          <w:bCs/>
          <w:kern w:val="2"/>
          <w:sz w:val="24"/>
          <w:szCs w:val="24"/>
          <w:lang w:val="en-US" w:eastAsia="zh-CN" w:bidi="ar-SA"/>
        </w:rPr>
        <w:t>6、质控单元</w:t>
      </w:r>
    </w:p>
    <w:p w14:paraId="3ADD2C11">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（1）具有动态密码加标功能，可以根据水样测量值不同而自动调整加标体积</w:t>
      </w:r>
      <w:r>
        <w:rPr>
          <w:rFonts w:hint="eastAsia" w:ascii="宋体" w:hAnsi="宋体" w:eastAsia="宋体" w:cs="宋体"/>
          <w:b w:val="0"/>
          <w:bCs w:val="0"/>
          <w:kern w:val="2"/>
          <w:sz w:val="24"/>
          <w:szCs w:val="24"/>
          <w:lang w:val="en-US" w:eastAsia="zh-CN"/>
        </w:rPr>
        <w:t>。</w:t>
      </w:r>
    </w:p>
    <w:p w14:paraId="00304595">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（2）仪器设备、集成系统具有自动平行样测定功能，并能将平行样结果独立保存到数据库中。</w:t>
      </w:r>
    </w:p>
    <w:p w14:paraId="3A6A26E0">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（3）具备自动切换标样管和水样管的功能,以免交叉污染。</w:t>
      </w:r>
    </w:p>
    <w:p w14:paraId="50877444">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（4）每台仪器配备独立的质控装置，保证质控考核的独立性。</w:t>
      </w:r>
    </w:p>
    <w:p w14:paraId="6221FDB6">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（5）质控单元可自动制备零点校正液和多点线性核查校正液，系统可自动完成仪器的多点线性核查。</w:t>
      </w:r>
    </w:p>
    <w:p w14:paraId="5ABA2C64">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（6）可接受本地或远程的制样指令，</w:t>
      </w:r>
      <w:r>
        <w:rPr>
          <w:rFonts w:hint="eastAsia" w:ascii="宋体" w:hAnsi="宋体" w:cs="宋体"/>
          <w:b w:val="0"/>
          <w:bCs w:val="0"/>
          <w:kern w:val="2"/>
          <w:sz w:val="24"/>
          <w:szCs w:val="24"/>
          <w:lang w:val="en-US" w:eastAsia="zh-CN"/>
        </w:rPr>
        <w:t>制作</w:t>
      </w:r>
      <w:r>
        <w:rPr>
          <w:rFonts w:hint="default" w:ascii="宋体" w:hAnsi="宋体" w:eastAsia="宋体" w:cs="宋体"/>
          <w:b w:val="0"/>
          <w:bCs w:val="0"/>
          <w:kern w:val="2"/>
          <w:sz w:val="24"/>
          <w:szCs w:val="24"/>
          <w:lang w:val="en-US" w:eastAsia="zh-CN"/>
        </w:rPr>
        <w:t>不同浓度的标准样品,实现自动标定或校准仪器标准工作曲线的功能。</w:t>
      </w:r>
    </w:p>
    <w:p w14:paraId="664260E7">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（7）至少可同时支持四个及以上分析仪的质控功能，可适配不同类型的分析仪。</w:t>
      </w:r>
    </w:p>
    <w:p w14:paraId="3D2C8A29">
      <w:pPr>
        <w:keepNext/>
        <w:keepLines/>
        <w:widowControl w:val="0"/>
        <w:bidi w:val="0"/>
        <w:spacing w:before="260" w:beforeLines="0" w:after="260" w:afterLines="0"/>
        <w:jc w:val="both"/>
        <w:outlineLvl w:val="1"/>
        <w:rPr>
          <w:rFonts w:hint="default" w:ascii="Arial" w:hAnsi="Arial" w:eastAsia="宋体" w:cs="方正仿宋_GBK"/>
          <w:b/>
          <w:kern w:val="2"/>
          <w:sz w:val="24"/>
          <w:szCs w:val="32"/>
          <w:lang w:val="en-US" w:eastAsia="zh-CN" w:bidi="ar-SA"/>
        </w:rPr>
      </w:pPr>
      <w:r>
        <w:rPr>
          <w:rFonts w:hint="default" w:ascii="Arial" w:hAnsi="Arial" w:eastAsia="宋体" w:cs="方正仿宋_GBK"/>
          <w:b/>
          <w:kern w:val="2"/>
          <w:sz w:val="24"/>
          <w:szCs w:val="32"/>
          <w:lang w:val="en-US" w:eastAsia="zh-CN" w:bidi="ar-SA"/>
        </w:rPr>
        <w:t>（</w:t>
      </w:r>
      <w:ins w:id="4" w:author="易大林" w:date="2025-07-18T16:05:13Z">
        <w:r>
          <w:rPr>
            <w:rFonts w:hint="eastAsia" w:ascii="Arial" w:hAnsi="Arial" w:eastAsia="宋体" w:cs="方正仿宋_GBK"/>
            <w:b/>
            <w:kern w:val="2"/>
            <w:sz w:val="24"/>
            <w:szCs w:val="32"/>
            <w:lang w:val="en-US" w:eastAsia="zh-CN" w:bidi="ar-SA"/>
          </w:rPr>
          <w:t>六</w:t>
        </w:r>
      </w:ins>
      <w:r>
        <w:rPr>
          <w:rFonts w:hint="default" w:ascii="Arial" w:hAnsi="Arial" w:eastAsia="宋体" w:cs="方正仿宋_GBK"/>
          <w:b/>
          <w:kern w:val="2"/>
          <w:sz w:val="24"/>
          <w:szCs w:val="32"/>
          <w:lang w:val="en-US" w:eastAsia="zh-CN" w:bidi="ar-SA"/>
        </w:rPr>
        <w:t>）数据采集与上传</w:t>
      </w:r>
    </w:p>
    <w:p w14:paraId="09744D9A">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1、</w:t>
      </w:r>
      <w:r>
        <w:rPr>
          <w:rFonts w:hint="default" w:ascii="宋体" w:hAnsi="宋体" w:eastAsia="宋体" w:cs="宋体"/>
          <w:b w:val="0"/>
          <w:bCs w:val="0"/>
          <w:kern w:val="2"/>
          <w:sz w:val="24"/>
          <w:szCs w:val="24"/>
          <w:lang w:val="en-US" w:eastAsia="zh-CN"/>
        </w:rPr>
        <w:t>数据采集与存储</w:t>
      </w:r>
    </w:p>
    <w:p w14:paraId="4BD0D783">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（1）采集自动分析仪器的监测数据，并分类保存。</w:t>
      </w:r>
    </w:p>
    <w:p w14:paraId="1F9A01F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（2）采集自动分析仪器和集成系统各单元的工作</w:t>
      </w:r>
      <w:r>
        <w:rPr>
          <w:rFonts w:hint="eastAsia" w:ascii="宋体" w:hAnsi="宋体" w:cs="宋体"/>
          <w:b w:val="0"/>
          <w:bCs w:val="0"/>
          <w:kern w:val="2"/>
          <w:sz w:val="24"/>
          <w:szCs w:val="24"/>
          <w:lang w:val="en-US" w:eastAsia="zh-CN"/>
        </w:rPr>
        <w:t>状态</w:t>
      </w:r>
      <w:r>
        <w:rPr>
          <w:rFonts w:hint="default" w:ascii="宋体" w:hAnsi="宋体" w:eastAsia="宋体" w:cs="宋体"/>
          <w:b w:val="0"/>
          <w:bCs w:val="0"/>
          <w:kern w:val="2"/>
          <w:sz w:val="24"/>
          <w:szCs w:val="24"/>
          <w:lang w:val="en-US" w:eastAsia="zh-CN"/>
        </w:rPr>
        <w:t>，并以运行日志的形式记录保存。</w:t>
      </w:r>
    </w:p>
    <w:p w14:paraId="3428C50B">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（3）能够实时采集视频信息并传输至中心平台。</w:t>
      </w:r>
    </w:p>
    <w:p w14:paraId="2A1EA85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（4）断电后能自动保存历史数据和参数设置。</w:t>
      </w:r>
    </w:p>
    <w:p w14:paraId="6D8A7032">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w:t>
      </w:r>
      <w:r>
        <w:rPr>
          <w:rFonts w:hint="default" w:ascii="宋体" w:hAnsi="宋体" w:eastAsia="宋体" w:cs="宋体"/>
          <w:b w:val="0"/>
          <w:bCs w:val="0"/>
          <w:kern w:val="2"/>
          <w:sz w:val="24"/>
          <w:szCs w:val="24"/>
          <w:lang w:val="en-US" w:eastAsia="zh-CN"/>
        </w:rPr>
        <w:t>数据传输与通讯</w:t>
      </w:r>
    </w:p>
    <w:p w14:paraId="0EECF030">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（1）采用无线、有线的通讯方式满足数据传输要求。</w:t>
      </w:r>
    </w:p>
    <w:p w14:paraId="61BB544D">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eastAsia="zh-CN"/>
        </w:rPr>
        <w:t>2</w:t>
      </w:r>
      <w:r>
        <w:rPr>
          <w:rFonts w:hint="default" w:ascii="宋体" w:hAnsi="宋体" w:eastAsia="宋体" w:cs="宋体"/>
          <w:b w:val="0"/>
          <w:bCs w:val="0"/>
          <w:kern w:val="2"/>
          <w:sz w:val="24"/>
          <w:szCs w:val="24"/>
          <w:lang w:val="en-US" w:eastAsia="zh-CN"/>
        </w:rPr>
        <w:t>）采用虚拟专用网络数据传输方式。</w:t>
      </w:r>
    </w:p>
    <w:p w14:paraId="5A207D65">
      <w:pPr>
        <w:spacing w:line="360" w:lineRule="auto"/>
        <w:ind w:firstLine="480" w:firstLineChars="200"/>
        <w:jc w:val="left"/>
        <w:rPr>
          <w:ins w:id="5" w:author="易大林" w:date="2025-07-18T16:04:46Z"/>
          <w:rFonts w:hint="default" w:ascii="宋体" w:hAnsi="宋体" w:eastAsia="宋体" w:cs="宋体"/>
          <w:b w:val="0"/>
          <w:bCs w:val="0"/>
          <w:kern w:val="2"/>
          <w:sz w:val="24"/>
          <w:szCs w:val="24"/>
          <w:lang w:val="en-US" w:eastAsia="zh-CN"/>
        </w:rPr>
      </w:pPr>
      <w:r>
        <w:rPr>
          <w:rFonts w:hint="default" w:ascii="宋体" w:hAnsi="宋体" w:eastAsia="宋体" w:cs="宋体"/>
          <w:b w:val="0"/>
          <w:bCs w:val="0"/>
          <w:kern w:val="2"/>
          <w:sz w:val="24"/>
          <w:szCs w:val="24"/>
          <w:lang w:val="en-US" w:eastAsia="zh-CN"/>
        </w:rPr>
        <w:t>（</w:t>
      </w:r>
      <w:r>
        <w:rPr>
          <w:rFonts w:hint="eastAsia" w:ascii="宋体" w:hAnsi="宋体" w:eastAsia="宋体" w:cs="宋体"/>
          <w:b w:val="0"/>
          <w:bCs w:val="0"/>
          <w:kern w:val="2"/>
          <w:sz w:val="24"/>
          <w:szCs w:val="24"/>
          <w:lang w:val="en-US" w:eastAsia="zh-CN"/>
        </w:rPr>
        <w:t>3</w:t>
      </w:r>
      <w:r>
        <w:rPr>
          <w:rFonts w:hint="default" w:ascii="宋体" w:hAnsi="宋体" w:eastAsia="宋体" w:cs="宋体"/>
          <w:b w:val="0"/>
          <w:bCs w:val="0"/>
          <w:kern w:val="2"/>
          <w:sz w:val="24"/>
          <w:szCs w:val="24"/>
          <w:lang w:val="en-US" w:eastAsia="zh-CN"/>
        </w:rPr>
        <w:t>）具备对通信链路的自动诊断功能，具备超时补发功能。</w:t>
      </w:r>
    </w:p>
    <w:p w14:paraId="2663997E">
      <w:pPr>
        <w:keepNext/>
        <w:keepLines/>
        <w:widowControl w:val="0"/>
        <w:bidi w:val="0"/>
        <w:spacing w:before="260" w:beforeLines="0" w:after="260" w:afterLines="0"/>
        <w:jc w:val="both"/>
        <w:outlineLvl w:val="1"/>
        <w:rPr>
          <w:ins w:id="6" w:author="易大林" w:date="2025-07-18T16:04:48Z"/>
          <w:rFonts w:hint="eastAsia" w:ascii="Arial" w:hAnsi="Arial" w:eastAsia="宋体" w:cs="方正仿宋_GBK"/>
          <w:b/>
          <w:kern w:val="2"/>
          <w:sz w:val="24"/>
          <w:szCs w:val="32"/>
          <w:lang w:val="en-US" w:eastAsia="zh-CN" w:bidi="ar-SA"/>
        </w:rPr>
      </w:pPr>
      <w:ins w:id="7" w:author="易大林" w:date="2025-07-18T16:04:48Z">
        <w:r>
          <w:rPr>
            <w:rFonts w:hint="eastAsia" w:ascii="Arial" w:hAnsi="Arial" w:eastAsia="宋体" w:cs="方正仿宋_GBK"/>
            <w:b/>
            <w:kern w:val="2"/>
            <w:sz w:val="24"/>
            <w:szCs w:val="32"/>
            <w:lang w:val="en-US" w:eastAsia="zh-CN" w:bidi="ar-SA"/>
          </w:rPr>
          <w:t>（</w:t>
        </w:r>
      </w:ins>
      <w:ins w:id="8" w:author="易大林" w:date="2025-07-18T16:05:16Z">
        <w:r>
          <w:rPr>
            <w:rFonts w:hint="eastAsia" w:ascii="Arial" w:hAnsi="Arial" w:eastAsia="宋体" w:cs="方正仿宋_GBK"/>
            <w:b/>
            <w:kern w:val="2"/>
            <w:sz w:val="24"/>
            <w:szCs w:val="32"/>
            <w:lang w:val="en-US" w:eastAsia="zh-CN" w:bidi="ar-SA"/>
          </w:rPr>
          <w:t>七</w:t>
        </w:r>
      </w:ins>
      <w:ins w:id="9" w:author="易大林" w:date="2025-07-18T16:04:48Z">
        <w:r>
          <w:rPr>
            <w:rFonts w:hint="eastAsia" w:ascii="Arial" w:hAnsi="Arial" w:eastAsia="宋体" w:cs="方正仿宋_GBK"/>
            <w:b/>
            <w:kern w:val="2"/>
            <w:sz w:val="24"/>
            <w:szCs w:val="32"/>
            <w:lang w:val="en-US" w:eastAsia="zh-CN" w:bidi="ar-SA"/>
          </w:rPr>
          <w:t>）智能水样采样器技术要求</w:t>
        </w:r>
      </w:ins>
    </w:p>
    <w:p w14:paraId="7E0CE513">
      <w:pPr>
        <w:spacing w:line="360" w:lineRule="auto"/>
        <w:ind w:firstLine="480" w:firstLineChars="200"/>
        <w:jc w:val="left"/>
        <w:rPr>
          <w:ins w:id="10" w:author="易大林" w:date="2025-07-18T16:04:48Z"/>
          <w:rFonts w:hint="eastAsia" w:ascii="宋体" w:hAnsi="宋体" w:eastAsia="宋体" w:cs="宋体"/>
          <w:b w:val="0"/>
          <w:bCs w:val="0"/>
          <w:kern w:val="2"/>
          <w:sz w:val="24"/>
          <w:szCs w:val="24"/>
          <w:lang w:val="en-US" w:eastAsia="zh-CN"/>
        </w:rPr>
      </w:pPr>
      <w:ins w:id="11" w:author="易大林" w:date="2025-07-18T16:04:48Z">
        <w:r>
          <w:rPr>
            <w:rFonts w:hint="eastAsia" w:ascii="宋体" w:hAnsi="宋体" w:eastAsia="宋体" w:cs="宋体"/>
            <w:b w:val="0"/>
            <w:bCs w:val="0"/>
            <w:kern w:val="2"/>
            <w:sz w:val="24"/>
            <w:szCs w:val="24"/>
            <w:lang w:val="en-US" w:eastAsia="zh-CN"/>
          </w:rPr>
          <w:t>1、系统配置</w:t>
        </w:r>
      </w:ins>
    </w:p>
    <w:p w14:paraId="707A0407">
      <w:pPr>
        <w:spacing w:line="360" w:lineRule="auto"/>
        <w:ind w:firstLine="480" w:firstLineChars="200"/>
        <w:jc w:val="left"/>
        <w:rPr>
          <w:ins w:id="12" w:author="易大林" w:date="2025-07-18T16:04:48Z"/>
          <w:rFonts w:hint="eastAsia" w:ascii="宋体" w:hAnsi="宋体" w:eastAsia="宋体" w:cs="宋体"/>
          <w:b w:val="0"/>
          <w:bCs w:val="0"/>
          <w:kern w:val="2"/>
          <w:sz w:val="24"/>
          <w:szCs w:val="24"/>
          <w:lang w:val="en-US" w:eastAsia="zh-CN"/>
        </w:rPr>
      </w:pPr>
      <w:ins w:id="13" w:author="易大林" w:date="2025-07-18T16:04:48Z">
        <w:r>
          <w:rPr>
            <w:rFonts w:hint="eastAsia" w:ascii="宋体" w:hAnsi="宋体" w:eastAsia="宋体" w:cs="宋体"/>
            <w:b w:val="0"/>
            <w:bCs w:val="0"/>
            <w:kern w:val="2"/>
            <w:sz w:val="24"/>
            <w:szCs w:val="24"/>
            <w:lang w:val="en-US" w:eastAsia="zh-CN"/>
          </w:rPr>
          <w:t>户外采样站房、水质自动采样器、雨量计、流量计、水位计、视频监控设备。</w:t>
        </w:r>
      </w:ins>
    </w:p>
    <w:p w14:paraId="010DF217">
      <w:pPr>
        <w:spacing w:line="360" w:lineRule="auto"/>
        <w:ind w:firstLine="480" w:firstLineChars="200"/>
        <w:jc w:val="left"/>
        <w:rPr>
          <w:ins w:id="14" w:author="易大林" w:date="2025-07-18T16:04:48Z"/>
          <w:rFonts w:hint="eastAsia" w:ascii="宋体" w:hAnsi="宋体" w:eastAsia="宋体" w:cs="宋体"/>
          <w:b w:val="0"/>
          <w:bCs w:val="0"/>
          <w:kern w:val="2"/>
          <w:sz w:val="24"/>
          <w:szCs w:val="24"/>
          <w:lang w:val="en-US" w:eastAsia="zh-CN"/>
        </w:rPr>
      </w:pPr>
      <w:ins w:id="15" w:author="易大林" w:date="2025-07-18T16:04:48Z">
        <w:r>
          <w:rPr>
            <w:rFonts w:hint="eastAsia" w:ascii="宋体" w:hAnsi="宋体" w:eastAsia="宋体" w:cs="宋体"/>
            <w:b w:val="0"/>
            <w:bCs w:val="0"/>
            <w:kern w:val="2"/>
            <w:sz w:val="24"/>
            <w:szCs w:val="24"/>
            <w:lang w:val="en-US" w:eastAsia="zh-CN"/>
          </w:rPr>
          <w:t>2、采样站房功能</w:t>
        </w:r>
      </w:ins>
    </w:p>
    <w:p w14:paraId="4C0360FC">
      <w:pPr>
        <w:spacing w:line="360" w:lineRule="auto"/>
        <w:ind w:firstLine="480" w:firstLineChars="200"/>
        <w:jc w:val="left"/>
        <w:rPr>
          <w:ins w:id="16" w:author="易大林" w:date="2025-07-18T16:04:48Z"/>
          <w:rFonts w:hint="eastAsia" w:ascii="宋体" w:hAnsi="宋体" w:eastAsia="宋体" w:cs="宋体"/>
          <w:b w:val="0"/>
          <w:bCs w:val="0"/>
          <w:kern w:val="2"/>
          <w:sz w:val="24"/>
          <w:szCs w:val="24"/>
          <w:lang w:val="en-US" w:eastAsia="zh-CN"/>
        </w:rPr>
      </w:pPr>
      <w:ins w:id="17" w:author="易大林" w:date="2025-07-18T16:04:48Z">
        <w:r>
          <w:rPr>
            <w:rFonts w:hint="eastAsia" w:ascii="宋体" w:hAnsi="宋体" w:eastAsia="宋体" w:cs="宋体"/>
            <w:b w:val="0"/>
            <w:bCs w:val="0"/>
            <w:kern w:val="2"/>
            <w:sz w:val="24"/>
            <w:szCs w:val="24"/>
            <w:lang w:val="en-US" w:eastAsia="zh-CN"/>
          </w:rPr>
          <w:t>（1）具备防水功能；</w:t>
        </w:r>
      </w:ins>
    </w:p>
    <w:p w14:paraId="2077DB80">
      <w:pPr>
        <w:spacing w:line="360" w:lineRule="auto"/>
        <w:ind w:firstLine="480" w:firstLineChars="200"/>
        <w:jc w:val="left"/>
        <w:rPr>
          <w:ins w:id="18" w:author="易大林" w:date="2025-07-18T16:04:48Z"/>
          <w:rFonts w:hint="eastAsia" w:ascii="宋体" w:hAnsi="宋体" w:eastAsia="宋体" w:cs="宋体"/>
          <w:b w:val="0"/>
          <w:bCs w:val="0"/>
          <w:kern w:val="2"/>
          <w:sz w:val="24"/>
          <w:szCs w:val="24"/>
          <w:lang w:val="en-US" w:eastAsia="zh-CN"/>
        </w:rPr>
      </w:pPr>
      <w:ins w:id="19" w:author="易大林" w:date="2025-07-18T16:04:48Z">
        <w:r>
          <w:rPr>
            <w:rFonts w:hint="eastAsia" w:ascii="宋体" w:hAnsi="宋体" w:eastAsia="宋体" w:cs="宋体"/>
            <w:b w:val="0"/>
            <w:bCs w:val="0"/>
            <w:kern w:val="2"/>
            <w:sz w:val="24"/>
            <w:szCs w:val="24"/>
            <w:lang w:val="en-US" w:eastAsia="zh-CN"/>
          </w:rPr>
          <w:t>（2）具备恒温控制功能；</w:t>
        </w:r>
      </w:ins>
    </w:p>
    <w:p w14:paraId="33872F21">
      <w:pPr>
        <w:spacing w:line="360" w:lineRule="auto"/>
        <w:ind w:firstLine="480" w:firstLineChars="200"/>
        <w:jc w:val="left"/>
        <w:rPr>
          <w:ins w:id="20" w:author="易大林" w:date="2025-07-18T16:04:48Z"/>
          <w:rFonts w:hint="eastAsia" w:ascii="宋体" w:hAnsi="宋体" w:eastAsia="宋体" w:cs="宋体"/>
          <w:b w:val="0"/>
          <w:bCs w:val="0"/>
          <w:kern w:val="2"/>
          <w:sz w:val="24"/>
          <w:szCs w:val="24"/>
          <w:lang w:val="en-US" w:eastAsia="zh-CN"/>
        </w:rPr>
      </w:pPr>
      <w:ins w:id="21" w:author="易大林" w:date="2025-07-18T16:04:48Z">
        <w:r>
          <w:rPr>
            <w:rFonts w:hint="eastAsia" w:ascii="宋体" w:hAnsi="宋体" w:eastAsia="宋体" w:cs="宋体"/>
            <w:b w:val="0"/>
            <w:bCs w:val="0"/>
            <w:kern w:val="2"/>
            <w:sz w:val="24"/>
            <w:szCs w:val="24"/>
            <w:lang w:val="en-US" w:eastAsia="zh-CN"/>
          </w:rPr>
          <w:t>（3）面积不大于1㎡；</w:t>
        </w:r>
      </w:ins>
    </w:p>
    <w:p w14:paraId="6D50D16D">
      <w:pPr>
        <w:spacing w:line="360" w:lineRule="auto"/>
        <w:ind w:firstLine="480" w:firstLineChars="200"/>
        <w:jc w:val="left"/>
        <w:rPr>
          <w:ins w:id="22" w:author="易大林" w:date="2025-07-18T16:04:48Z"/>
          <w:rFonts w:hint="eastAsia" w:ascii="宋体" w:hAnsi="宋体" w:eastAsia="宋体" w:cs="宋体"/>
          <w:b w:val="0"/>
          <w:bCs w:val="0"/>
          <w:kern w:val="2"/>
          <w:sz w:val="24"/>
          <w:szCs w:val="24"/>
          <w:lang w:val="en-US" w:eastAsia="zh-CN"/>
        </w:rPr>
      </w:pPr>
      <w:ins w:id="23" w:author="易大林" w:date="2025-07-18T16:04:48Z">
        <w:r>
          <w:rPr>
            <w:rFonts w:hint="eastAsia" w:ascii="宋体" w:hAnsi="宋体" w:eastAsia="宋体" w:cs="宋体"/>
            <w:b w:val="0"/>
            <w:bCs w:val="0"/>
            <w:kern w:val="2"/>
            <w:sz w:val="24"/>
            <w:szCs w:val="24"/>
            <w:lang w:val="en-US" w:eastAsia="zh-CN"/>
          </w:rPr>
          <w:t>（4）具备IP68防护等级。</w:t>
        </w:r>
      </w:ins>
    </w:p>
    <w:p w14:paraId="60A0D94E">
      <w:pPr>
        <w:spacing w:line="360" w:lineRule="auto"/>
        <w:ind w:firstLine="480" w:firstLineChars="200"/>
        <w:jc w:val="left"/>
        <w:rPr>
          <w:ins w:id="24" w:author="易大林" w:date="2025-07-18T16:04:48Z"/>
          <w:rFonts w:hint="eastAsia" w:ascii="宋体" w:hAnsi="宋体" w:eastAsia="宋体" w:cs="宋体"/>
          <w:b w:val="0"/>
          <w:bCs w:val="0"/>
          <w:kern w:val="2"/>
          <w:sz w:val="24"/>
          <w:szCs w:val="24"/>
          <w:lang w:val="en-US" w:eastAsia="zh-CN"/>
        </w:rPr>
      </w:pPr>
      <w:ins w:id="25" w:author="易大林" w:date="2025-07-18T16:04:48Z">
        <w:r>
          <w:rPr>
            <w:rFonts w:hint="eastAsia" w:ascii="宋体" w:hAnsi="宋体" w:eastAsia="宋体" w:cs="宋体"/>
            <w:b w:val="0"/>
            <w:bCs w:val="0"/>
            <w:kern w:val="2"/>
            <w:sz w:val="24"/>
            <w:szCs w:val="24"/>
            <w:lang w:val="en-US" w:eastAsia="zh-CN"/>
          </w:rPr>
          <w:t>3、水质自动采样器</w:t>
        </w:r>
      </w:ins>
    </w:p>
    <w:p w14:paraId="15EB6DEC">
      <w:pPr>
        <w:spacing w:line="360" w:lineRule="auto"/>
        <w:ind w:firstLine="480" w:firstLineChars="200"/>
        <w:jc w:val="left"/>
        <w:rPr>
          <w:ins w:id="26" w:author="易大林" w:date="2025-07-18T16:04:48Z"/>
          <w:rFonts w:hint="eastAsia" w:ascii="宋体" w:hAnsi="宋体" w:eastAsia="宋体" w:cs="宋体"/>
          <w:b w:val="0"/>
          <w:bCs w:val="0"/>
          <w:kern w:val="2"/>
          <w:sz w:val="24"/>
          <w:szCs w:val="24"/>
          <w:lang w:val="en-US" w:eastAsia="zh-CN"/>
        </w:rPr>
      </w:pPr>
      <w:ins w:id="27" w:author="易大林" w:date="2025-07-18T16:04:48Z">
        <w:r>
          <w:rPr>
            <w:rFonts w:hint="eastAsia" w:ascii="宋体" w:hAnsi="宋体" w:eastAsia="宋体" w:cs="宋体"/>
            <w:b w:val="0"/>
            <w:bCs w:val="0"/>
            <w:kern w:val="2"/>
            <w:sz w:val="24"/>
            <w:szCs w:val="24"/>
            <w:lang w:val="en-US" w:eastAsia="zh-CN"/>
          </w:rPr>
          <w:t>（1）采样瓶：≥500ml，采样瓶数量：≥12个，采样瓶材质：玻璃或聚乙烯；</w:t>
        </w:r>
      </w:ins>
    </w:p>
    <w:p w14:paraId="68A73D75">
      <w:pPr>
        <w:spacing w:line="360" w:lineRule="auto"/>
        <w:ind w:firstLine="480" w:firstLineChars="200"/>
        <w:jc w:val="left"/>
        <w:rPr>
          <w:ins w:id="28" w:author="易大林" w:date="2025-07-18T16:04:48Z"/>
          <w:rFonts w:hint="eastAsia" w:ascii="宋体" w:hAnsi="宋体" w:eastAsia="宋体" w:cs="宋体"/>
          <w:b w:val="0"/>
          <w:bCs w:val="0"/>
          <w:kern w:val="2"/>
          <w:sz w:val="24"/>
          <w:szCs w:val="24"/>
          <w:lang w:val="en-US" w:eastAsia="zh-CN"/>
        </w:rPr>
      </w:pPr>
      <w:ins w:id="29" w:author="易大林" w:date="2025-07-18T16:04:48Z">
        <w:r>
          <w:rPr>
            <w:rFonts w:hint="eastAsia" w:ascii="宋体" w:hAnsi="宋体" w:eastAsia="宋体" w:cs="宋体"/>
            <w:b w:val="0"/>
            <w:bCs w:val="0"/>
            <w:kern w:val="2"/>
            <w:sz w:val="24"/>
            <w:szCs w:val="24"/>
            <w:lang w:val="en-US" w:eastAsia="zh-CN"/>
          </w:rPr>
          <w:t>（2）留样瓶具备自动排空功能；</w:t>
        </w:r>
      </w:ins>
    </w:p>
    <w:p w14:paraId="3ED9EC10">
      <w:pPr>
        <w:spacing w:line="360" w:lineRule="auto"/>
        <w:ind w:firstLine="480" w:firstLineChars="200"/>
        <w:jc w:val="left"/>
        <w:rPr>
          <w:ins w:id="30" w:author="易大林" w:date="2025-07-18T16:04:48Z"/>
          <w:rFonts w:hint="eastAsia" w:ascii="宋体" w:hAnsi="宋体" w:eastAsia="宋体" w:cs="宋体"/>
          <w:b w:val="0"/>
          <w:bCs w:val="0"/>
          <w:kern w:val="2"/>
          <w:sz w:val="24"/>
          <w:szCs w:val="24"/>
          <w:lang w:val="en-US" w:eastAsia="zh-CN"/>
        </w:rPr>
      </w:pPr>
      <w:ins w:id="31" w:author="易大林" w:date="2025-07-18T16:04:48Z">
        <w:r>
          <w:rPr>
            <w:rFonts w:hint="eastAsia" w:ascii="宋体" w:hAnsi="宋体" w:eastAsia="宋体" w:cs="宋体"/>
            <w:b w:val="0"/>
            <w:bCs w:val="0"/>
            <w:kern w:val="2"/>
            <w:sz w:val="24"/>
            <w:szCs w:val="24"/>
            <w:lang w:val="en-US" w:eastAsia="zh-CN"/>
          </w:rPr>
          <w:t>（3）采样器预设具备可自动加保存剂功能，提供固定剂（加药）种类的屏幕截图；</w:t>
        </w:r>
      </w:ins>
    </w:p>
    <w:p w14:paraId="6F753CD0">
      <w:pPr>
        <w:spacing w:line="360" w:lineRule="auto"/>
        <w:ind w:firstLine="480" w:firstLineChars="200"/>
        <w:jc w:val="left"/>
        <w:rPr>
          <w:ins w:id="32" w:author="易大林" w:date="2025-07-18T16:04:48Z"/>
          <w:rFonts w:hint="eastAsia" w:ascii="宋体" w:hAnsi="宋体" w:eastAsia="宋体" w:cs="宋体"/>
          <w:b w:val="0"/>
          <w:bCs w:val="0"/>
          <w:kern w:val="2"/>
          <w:sz w:val="24"/>
          <w:szCs w:val="24"/>
          <w:lang w:val="en-US" w:eastAsia="zh-CN"/>
        </w:rPr>
      </w:pPr>
      <w:ins w:id="33" w:author="易大林" w:date="2025-07-18T16:04:48Z">
        <w:r>
          <w:rPr>
            <w:rFonts w:hint="eastAsia" w:ascii="宋体" w:hAnsi="宋体" w:eastAsia="宋体" w:cs="宋体"/>
            <w:b w:val="0"/>
            <w:bCs w:val="0"/>
            <w:kern w:val="2"/>
            <w:sz w:val="24"/>
            <w:szCs w:val="24"/>
            <w:lang w:val="en-US" w:eastAsia="zh-CN"/>
          </w:rPr>
          <w:t>（4）</w:t>
        </w:r>
      </w:ins>
      <w:r>
        <w:rPr>
          <w:rFonts w:hint="eastAsia" w:ascii="宋体" w:hAnsi="宋体" w:cs="宋体"/>
          <w:b w:val="0"/>
          <w:bCs w:val="0"/>
          <w:kern w:val="2"/>
          <w:sz w:val="24"/>
          <w:szCs w:val="24"/>
          <w:lang w:val="en-US" w:eastAsia="zh-CN"/>
        </w:rPr>
        <w:t>须具备</w:t>
      </w:r>
      <w:ins w:id="34" w:author="易大林" w:date="2025-07-18T16:04:48Z">
        <w:r>
          <w:rPr>
            <w:rFonts w:hint="eastAsia" w:ascii="宋体" w:hAnsi="宋体" w:eastAsia="宋体" w:cs="宋体"/>
            <w:b w:val="0"/>
            <w:bCs w:val="0"/>
            <w:kern w:val="2"/>
            <w:sz w:val="24"/>
            <w:szCs w:val="24"/>
            <w:lang w:val="en-US" w:eastAsia="zh-CN"/>
          </w:rPr>
          <w:t>刷卡门禁功能，分管理卡和运维卡；</w:t>
        </w:r>
      </w:ins>
    </w:p>
    <w:p w14:paraId="68CCE740">
      <w:pPr>
        <w:spacing w:line="360" w:lineRule="auto"/>
        <w:ind w:firstLine="480" w:firstLineChars="200"/>
        <w:jc w:val="left"/>
        <w:rPr>
          <w:ins w:id="35" w:author="易大林" w:date="2025-07-18T16:04:48Z"/>
          <w:rFonts w:hint="eastAsia" w:ascii="宋体" w:hAnsi="宋体" w:eastAsia="宋体" w:cs="宋体"/>
          <w:b w:val="0"/>
          <w:bCs w:val="0"/>
          <w:kern w:val="2"/>
          <w:sz w:val="24"/>
          <w:szCs w:val="24"/>
          <w:lang w:val="en-US" w:eastAsia="zh-CN"/>
        </w:rPr>
      </w:pPr>
      <w:ins w:id="36" w:author="易大林" w:date="2025-07-18T16:04:48Z">
        <w:r>
          <w:rPr>
            <w:rFonts w:hint="eastAsia" w:ascii="宋体" w:hAnsi="宋体" w:eastAsia="宋体" w:cs="宋体"/>
            <w:b w:val="0"/>
            <w:bCs w:val="0"/>
            <w:kern w:val="2"/>
            <w:sz w:val="24"/>
            <w:szCs w:val="24"/>
            <w:lang w:val="en-US" w:eastAsia="zh-CN"/>
          </w:rPr>
          <w:t>（5）采样室温度：4±2℃；</w:t>
        </w:r>
      </w:ins>
    </w:p>
    <w:p w14:paraId="3C71D057">
      <w:pPr>
        <w:spacing w:line="360" w:lineRule="auto"/>
        <w:ind w:firstLine="480" w:firstLineChars="200"/>
        <w:jc w:val="left"/>
        <w:rPr>
          <w:ins w:id="37" w:author="易大林" w:date="2025-07-18T16:04:48Z"/>
          <w:rFonts w:hint="eastAsia" w:ascii="宋体" w:hAnsi="宋体" w:eastAsia="宋体" w:cs="宋体"/>
          <w:b w:val="0"/>
          <w:bCs w:val="0"/>
          <w:kern w:val="2"/>
          <w:sz w:val="24"/>
          <w:szCs w:val="24"/>
          <w:lang w:val="en-US" w:eastAsia="zh-CN"/>
        </w:rPr>
      </w:pPr>
      <w:ins w:id="38" w:author="易大林" w:date="2025-07-18T16:04:48Z">
        <w:r>
          <w:rPr>
            <w:rFonts w:hint="eastAsia" w:ascii="宋体" w:hAnsi="宋体" w:eastAsia="宋体" w:cs="宋体"/>
            <w:b w:val="0"/>
            <w:bCs w:val="0"/>
            <w:kern w:val="2"/>
            <w:sz w:val="24"/>
            <w:szCs w:val="24"/>
            <w:lang w:val="en-US" w:eastAsia="zh-CN"/>
          </w:rPr>
          <w:t>（6）采样管路具备反冲洗设计，增压清洗功能，确保管路无水残留；</w:t>
        </w:r>
      </w:ins>
    </w:p>
    <w:p w14:paraId="66E51928">
      <w:pPr>
        <w:spacing w:line="360" w:lineRule="auto"/>
        <w:ind w:firstLine="480" w:firstLineChars="200"/>
        <w:jc w:val="left"/>
        <w:rPr>
          <w:ins w:id="39" w:author="易大林" w:date="2025-07-18T16:04:48Z"/>
          <w:rFonts w:hint="eastAsia" w:ascii="宋体" w:hAnsi="宋体" w:eastAsia="宋体" w:cs="宋体"/>
          <w:b w:val="0"/>
          <w:bCs w:val="0"/>
          <w:kern w:val="2"/>
          <w:sz w:val="24"/>
          <w:szCs w:val="24"/>
          <w:lang w:val="en-US" w:eastAsia="zh-CN"/>
        </w:rPr>
      </w:pPr>
      <w:ins w:id="40" w:author="易大林" w:date="2025-07-18T16:04:48Z">
        <w:r>
          <w:rPr>
            <w:rFonts w:hint="eastAsia" w:ascii="宋体" w:hAnsi="宋体" w:eastAsia="宋体" w:cs="宋体"/>
            <w:b w:val="0"/>
            <w:bCs w:val="0"/>
            <w:kern w:val="2"/>
            <w:sz w:val="24"/>
            <w:szCs w:val="24"/>
            <w:lang w:val="en-US" w:eastAsia="zh-CN"/>
          </w:rPr>
          <w:t>（</w:t>
        </w:r>
      </w:ins>
      <w:r>
        <w:rPr>
          <w:rFonts w:hint="eastAsia" w:ascii="宋体" w:hAnsi="宋体" w:cs="宋体"/>
          <w:b w:val="0"/>
          <w:bCs w:val="0"/>
          <w:kern w:val="2"/>
          <w:sz w:val="24"/>
          <w:szCs w:val="24"/>
          <w:lang w:val="en-US" w:eastAsia="zh-CN"/>
        </w:rPr>
        <w:t>7</w:t>
      </w:r>
      <w:ins w:id="41" w:author="易大林" w:date="2025-07-18T16:04:48Z">
        <w:r>
          <w:rPr>
            <w:rFonts w:hint="eastAsia" w:ascii="宋体" w:hAnsi="宋体" w:eastAsia="宋体" w:cs="宋体"/>
            <w:b w:val="0"/>
            <w:bCs w:val="0"/>
            <w:kern w:val="2"/>
            <w:sz w:val="24"/>
            <w:szCs w:val="24"/>
            <w:lang w:val="en-US" w:eastAsia="zh-CN"/>
          </w:rPr>
          <w:t>）具备超标留样功能。</w:t>
        </w:r>
      </w:ins>
    </w:p>
    <w:p w14:paraId="7B70F58D">
      <w:pPr>
        <w:spacing w:line="360" w:lineRule="auto"/>
        <w:ind w:firstLine="480" w:firstLineChars="200"/>
        <w:jc w:val="left"/>
        <w:rPr>
          <w:ins w:id="42" w:author="易大林" w:date="2025-07-18T16:04:48Z"/>
          <w:rFonts w:hint="eastAsia" w:ascii="宋体" w:hAnsi="宋体" w:eastAsia="宋体" w:cs="宋体"/>
          <w:b w:val="0"/>
          <w:bCs w:val="0"/>
          <w:kern w:val="2"/>
          <w:sz w:val="24"/>
          <w:szCs w:val="24"/>
          <w:lang w:val="en-US" w:eastAsia="zh-CN"/>
        </w:rPr>
      </w:pPr>
      <w:ins w:id="43" w:author="易大林" w:date="2025-07-18T16:04:48Z">
        <w:r>
          <w:rPr>
            <w:rFonts w:hint="eastAsia" w:ascii="宋体" w:hAnsi="宋体" w:eastAsia="宋体" w:cs="宋体"/>
            <w:b w:val="0"/>
            <w:bCs w:val="0"/>
            <w:kern w:val="2"/>
            <w:sz w:val="24"/>
            <w:szCs w:val="24"/>
            <w:lang w:val="en-US" w:eastAsia="zh-CN"/>
          </w:rPr>
          <w:t>4、雨量计</w:t>
        </w:r>
      </w:ins>
    </w:p>
    <w:p w14:paraId="46FC2073">
      <w:pPr>
        <w:spacing w:line="360" w:lineRule="auto"/>
        <w:ind w:firstLine="480" w:firstLineChars="200"/>
        <w:jc w:val="left"/>
        <w:rPr>
          <w:ins w:id="44" w:author="易大林" w:date="2025-07-18T16:04:48Z"/>
          <w:rFonts w:hint="eastAsia" w:ascii="宋体" w:hAnsi="宋体" w:eastAsia="宋体" w:cs="宋体"/>
          <w:b w:val="0"/>
          <w:bCs w:val="0"/>
          <w:kern w:val="2"/>
          <w:sz w:val="24"/>
          <w:szCs w:val="24"/>
          <w:lang w:val="en-US" w:eastAsia="zh-CN"/>
        </w:rPr>
      </w:pPr>
      <w:ins w:id="45" w:author="易大林" w:date="2025-07-18T16:04:48Z">
        <w:r>
          <w:rPr>
            <w:rFonts w:hint="eastAsia" w:ascii="宋体" w:hAnsi="宋体" w:eastAsia="宋体" w:cs="宋体"/>
            <w:b w:val="0"/>
            <w:bCs w:val="0"/>
            <w:kern w:val="2"/>
            <w:sz w:val="24"/>
            <w:szCs w:val="24"/>
            <w:lang w:val="en-US" w:eastAsia="zh-CN"/>
          </w:rPr>
          <w:t>（1）阵雨：当雨量满足采样要求，且达到降雨初期、中期、末期时采样站可自动启动采水；</w:t>
        </w:r>
      </w:ins>
    </w:p>
    <w:p w14:paraId="2EDD0BA4">
      <w:pPr>
        <w:spacing w:line="360" w:lineRule="auto"/>
        <w:ind w:firstLine="480" w:firstLineChars="200"/>
        <w:jc w:val="left"/>
        <w:rPr>
          <w:ins w:id="46" w:author="易大林" w:date="2025-07-18T16:04:48Z"/>
          <w:rFonts w:hint="eastAsia" w:ascii="宋体" w:hAnsi="宋体" w:eastAsia="宋体" w:cs="宋体"/>
          <w:b w:val="0"/>
          <w:bCs w:val="0"/>
          <w:kern w:val="2"/>
          <w:sz w:val="24"/>
          <w:szCs w:val="24"/>
          <w:lang w:val="en-US" w:eastAsia="zh-CN"/>
        </w:rPr>
      </w:pPr>
      <w:ins w:id="47" w:author="易大林" w:date="2025-07-18T16:04:48Z">
        <w:r>
          <w:rPr>
            <w:rFonts w:hint="eastAsia" w:ascii="宋体" w:hAnsi="宋体" w:eastAsia="宋体" w:cs="宋体"/>
            <w:b w:val="0"/>
            <w:bCs w:val="0"/>
            <w:kern w:val="2"/>
            <w:sz w:val="24"/>
            <w:szCs w:val="24"/>
            <w:lang w:val="en-US" w:eastAsia="zh-CN"/>
          </w:rPr>
          <w:t>（2）连续下雨：当雨量满足采样要求，且达到降雨初期、第一次大雨中期、第二次大雨中期、第三次大雨中期末期时采样站可自动启动采水；</w:t>
        </w:r>
      </w:ins>
    </w:p>
    <w:p w14:paraId="246F712F">
      <w:pPr>
        <w:spacing w:line="360" w:lineRule="auto"/>
        <w:ind w:firstLine="480" w:firstLineChars="200"/>
        <w:jc w:val="left"/>
        <w:rPr>
          <w:ins w:id="48" w:author="易大林" w:date="2025-07-18T16:04:48Z"/>
          <w:rFonts w:hint="eastAsia" w:ascii="宋体" w:hAnsi="宋体" w:eastAsia="宋体" w:cs="宋体"/>
          <w:b w:val="0"/>
          <w:bCs w:val="0"/>
          <w:kern w:val="2"/>
          <w:sz w:val="24"/>
          <w:szCs w:val="24"/>
          <w:lang w:val="en-US" w:eastAsia="zh-CN"/>
        </w:rPr>
      </w:pPr>
      <w:ins w:id="49" w:author="易大林" w:date="2025-07-18T16:04:48Z">
        <w:r>
          <w:rPr>
            <w:rFonts w:hint="eastAsia" w:ascii="宋体" w:hAnsi="宋体" w:eastAsia="宋体" w:cs="宋体"/>
            <w:b w:val="0"/>
            <w:bCs w:val="0"/>
            <w:kern w:val="2"/>
            <w:sz w:val="24"/>
            <w:szCs w:val="24"/>
            <w:lang w:val="en-US" w:eastAsia="zh-CN"/>
          </w:rPr>
          <w:t>（3）雨量传感器功耗：&lt;0.24W，分辨率：0.1mm，精度：±5%,最大瞬时雨量：24mm/min。</w:t>
        </w:r>
      </w:ins>
    </w:p>
    <w:p w14:paraId="3C840CC4">
      <w:pPr>
        <w:spacing w:line="360" w:lineRule="auto"/>
        <w:ind w:firstLine="480" w:firstLineChars="200"/>
        <w:jc w:val="left"/>
        <w:rPr>
          <w:ins w:id="50" w:author="易大林" w:date="2025-07-18T16:04:48Z"/>
          <w:rFonts w:hint="eastAsia" w:ascii="宋体" w:hAnsi="宋体" w:eastAsia="宋体" w:cs="宋体"/>
          <w:b w:val="0"/>
          <w:bCs w:val="0"/>
          <w:kern w:val="2"/>
          <w:sz w:val="24"/>
          <w:szCs w:val="24"/>
          <w:lang w:val="en-US" w:eastAsia="zh-CN"/>
        </w:rPr>
      </w:pPr>
      <w:ins w:id="51" w:author="易大林" w:date="2025-07-18T16:04:48Z">
        <w:r>
          <w:rPr>
            <w:rFonts w:hint="eastAsia" w:ascii="宋体" w:hAnsi="宋体" w:eastAsia="宋体" w:cs="宋体"/>
            <w:b w:val="0"/>
            <w:bCs w:val="0"/>
            <w:kern w:val="2"/>
            <w:sz w:val="24"/>
            <w:szCs w:val="24"/>
            <w:lang w:val="en-US" w:eastAsia="zh-CN"/>
          </w:rPr>
          <w:t>5、流量计</w:t>
        </w:r>
      </w:ins>
    </w:p>
    <w:p w14:paraId="4788370A">
      <w:pPr>
        <w:spacing w:line="360" w:lineRule="auto"/>
        <w:ind w:firstLine="480" w:firstLineChars="200"/>
        <w:jc w:val="left"/>
        <w:rPr>
          <w:ins w:id="52" w:author="易大林" w:date="2025-07-18T16:04:48Z"/>
          <w:rFonts w:hint="eastAsia" w:ascii="宋体" w:hAnsi="宋体" w:eastAsia="宋体" w:cs="宋体"/>
          <w:b w:val="0"/>
          <w:bCs w:val="0"/>
          <w:kern w:val="2"/>
          <w:sz w:val="24"/>
          <w:szCs w:val="24"/>
          <w:lang w:val="en-US" w:eastAsia="zh-CN"/>
        </w:rPr>
      </w:pPr>
      <w:ins w:id="53" w:author="易大林" w:date="2025-07-18T16:04:48Z">
        <w:r>
          <w:rPr>
            <w:rFonts w:hint="eastAsia" w:ascii="宋体" w:hAnsi="宋体" w:eastAsia="宋体" w:cs="宋体"/>
            <w:b w:val="0"/>
            <w:bCs w:val="0"/>
            <w:kern w:val="2"/>
            <w:sz w:val="24"/>
            <w:szCs w:val="24"/>
            <w:lang w:val="en-US" w:eastAsia="zh-CN"/>
          </w:rPr>
          <w:t>流量监测功能：灌溉产流前中后期当监测数据达到设定阈值时开始启动采水、监测、留样。</w:t>
        </w:r>
      </w:ins>
    </w:p>
    <w:p w14:paraId="49730466">
      <w:pPr>
        <w:spacing w:line="360" w:lineRule="auto"/>
        <w:ind w:firstLine="480" w:firstLineChars="200"/>
        <w:jc w:val="left"/>
        <w:rPr>
          <w:ins w:id="54" w:author="易大林" w:date="2025-07-18T16:04:48Z"/>
          <w:rFonts w:hint="eastAsia" w:ascii="宋体" w:hAnsi="宋体" w:eastAsia="宋体" w:cs="宋体"/>
          <w:b w:val="0"/>
          <w:bCs w:val="0"/>
          <w:kern w:val="2"/>
          <w:sz w:val="24"/>
          <w:szCs w:val="24"/>
          <w:lang w:val="en-US" w:eastAsia="zh-CN"/>
        </w:rPr>
      </w:pPr>
      <w:ins w:id="55" w:author="易大林" w:date="2025-07-18T16:04:48Z">
        <w:r>
          <w:rPr>
            <w:rFonts w:hint="eastAsia" w:ascii="宋体" w:hAnsi="宋体" w:eastAsia="宋体" w:cs="宋体"/>
            <w:b w:val="0"/>
            <w:bCs w:val="0"/>
            <w:kern w:val="2"/>
            <w:sz w:val="24"/>
            <w:szCs w:val="24"/>
            <w:lang w:val="en-US" w:eastAsia="zh-CN"/>
          </w:rPr>
          <w:t>（1）流速：</w:t>
        </w:r>
      </w:ins>
    </w:p>
    <w:p w14:paraId="7CC58236">
      <w:pPr>
        <w:spacing w:line="360" w:lineRule="auto"/>
        <w:ind w:firstLine="480" w:firstLineChars="200"/>
        <w:jc w:val="left"/>
        <w:rPr>
          <w:ins w:id="56" w:author="易大林" w:date="2025-07-18T16:04:48Z"/>
          <w:rFonts w:hint="eastAsia" w:ascii="宋体" w:hAnsi="宋体" w:eastAsia="宋体" w:cs="宋体"/>
          <w:b w:val="0"/>
          <w:bCs w:val="0"/>
          <w:kern w:val="2"/>
          <w:sz w:val="24"/>
          <w:szCs w:val="24"/>
          <w:lang w:val="en-US" w:eastAsia="zh-CN"/>
        </w:rPr>
      </w:pPr>
      <w:ins w:id="57" w:author="易大林" w:date="2025-07-18T16:04:48Z">
        <w:r>
          <w:rPr>
            <w:rFonts w:hint="eastAsia" w:ascii="宋体" w:hAnsi="宋体" w:eastAsia="宋体" w:cs="宋体"/>
            <w:b w:val="0"/>
            <w:bCs w:val="0"/>
            <w:kern w:val="2"/>
            <w:sz w:val="24"/>
            <w:szCs w:val="24"/>
            <w:lang w:val="en-US" w:eastAsia="zh-CN"/>
          </w:rPr>
          <w:t>测量范围：0-10m/s（可扩大）</w:t>
        </w:r>
      </w:ins>
    </w:p>
    <w:p w14:paraId="64FBBDD9">
      <w:pPr>
        <w:spacing w:line="360" w:lineRule="auto"/>
        <w:ind w:firstLine="480" w:firstLineChars="200"/>
        <w:jc w:val="left"/>
        <w:rPr>
          <w:ins w:id="58" w:author="易大林" w:date="2025-07-18T16:04:48Z"/>
          <w:rFonts w:hint="eastAsia" w:ascii="宋体" w:hAnsi="宋体" w:eastAsia="宋体" w:cs="宋体"/>
          <w:b w:val="0"/>
          <w:bCs w:val="0"/>
          <w:kern w:val="2"/>
          <w:sz w:val="24"/>
          <w:szCs w:val="24"/>
          <w:lang w:val="en-US" w:eastAsia="zh-CN"/>
        </w:rPr>
      </w:pPr>
      <w:ins w:id="59" w:author="易大林" w:date="2025-07-18T16:04:48Z">
        <w:r>
          <w:rPr>
            <w:rFonts w:hint="eastAsia" w:ascii="宋体" w:hAnsi="宋体" w:eastAsia="宋体" w:cs="宋体"/>
            <w:b w:val="0"/>
            <w:bCs w:val="0"/>
            <w:kern w:val="2"/>
            <w:sz w:val="24"/>
            <w:szCs w:val="24"/>
            <w:lang w:val="en-US" w:eastAsia="zh-CN"/>
          </w:rPr>
          <w:t>精度：0.001m/s(&lt;=5m/s);0.02m/s（&gt;5m/s）</w:t>
        </w:r>
      </w:ins>
    </w:p>
    <w:p w14:paraId="7C460066">
      <w:pPr>
        <w:spacing w:line="360" w:lineRule="auto"/>
        <w:ind w:firstLine="480" w:firstLineChars="200"/>
        <w:jc w:val="left"/>
        <w:rPr>
          <w:ins w:id="60" w:author="易大林" w:date="2025-07-18T16:04:48Z"/>
          <w:rFonts w:hint="eastAsia" w:ascii="宋体" w:hAnsi="宋体" w:eastAsia="宋体" w:cs="宋体"/>
          <w:b w:val="0"/>
          <w:bCs w:val="0"/>
          <w:kern w:val="2"/>
          <w:sz w:val="24"/>
          <w:szCs w:val="24"/>
          <w:lang w:val="en-US" w:eastAsia="zh-CN"/>
        </w:rPr>
      </w:pPr>
      <w:ins w:id="61" w:author="易大林" w:date="2025-07-18T16:04:48Z">
        <w:r>
          <w:rPr>
            <w:rFonts w:hint="eastAsia" w:ascii="宋体" w:hAnsi="宋体" w:eastAsia="宋体" w:cs="宋体"/>
            <w:b w:val="0"/>
            <w:bCs w:val="0"/>
            <w:kern w:val="2"/>
            <w:sz w:val="24"/>
            <w:szCs w:val="24"/>
            <w:lang w:val="en-US" w:eastAsia="zh-CN"/>
          </w:rPr>
          <w:t>分辨率：0.001mm/s</w:t>
        </w:r>
      </w:ins>
    </w:p>
    <w:p w14:paraId="4ECB95DE">
      <w:pPr>
        <w:spacing w:line="360" w:lineRule="auto"/>
        <w:ind w:firstLine="480" w:firstLineChars="200"/>
        <w:jc w:val="left"/>
        <w:rPr>
          <w:ins w:id="62" w:author="易大林" w:date="2025-07-18T16:04:48Z"/>
          <w:rFonts w:hint="eastAsia" w:ascii="宋体" w:hAnsi="宋体" w:eastAsia="宋体" w:cs="宋体"/>
          <w:b w:val="0"/>
          <w:bCs w:val="0"/>
          <w:kern w:val="2"/>
          <w:sz w:val="24"/>
          <w:szCs w:val="24"/>
          <w:lang w:val="en-US" w:eastAsia="zh-CN"/>
        </w:rPr>
      </w:pPr>
      <w:ins w:id="63" w:author="易大林" w:date="2025-07-18T16:04:48Z">
        <w:r>
          <w:rPr>
            <w:rFonts w:hint="eastAsia" w:ascii="宋体" w:hAnsi="宋体" w:eastAsia="宋体" w:cs="宋体"/>
            <w:b w:val="0"/>
            <w:bCs w:val="0"/>
            <w:kern w:val="2"/>
            <w:sz w:val="24"/>
            <w:szCs w:val="24"/>
            <w:lang w:val="en-US" w:eastAsia="zh-CN"/>
          </w:rPr>
          <w:t>（2）水位：</w:t>
        </w:r>
      </w:ins>
    </w:p>
    <w:p w14:paraId="4936D943">
      <w:pPr>
        <w:spacing w:line="360" w:lineRule="auto"/>
        <w:ind w:firstLine="480" w:firstLineChars="200"/>
        <w:jc w:val="left"/>
        <w:rPr>
          <w:ins w:id="64" w:author="易大林" w:date="2025-07-18T16:04:48Z"/>
          <w:rFonts w:hint="eastAsia" w:ascii="宋体" w:hAnsi="宋体" w:eastAsia="宋体" w:cs="宋体"/>
          <w:b w:val="0"/>
          <w:bCs w:val="0"/>
          <w:kern w:val="2"/>
          <w:sz w:val="24"/>
          <w:szCs w:val="24"/>
          <w:lang w:val="en-US" w:eastAsia="zh-CN"/>
        </w:rPr>
      </w:pPr>
      <w:ins w:id="65" w:author="易大林" w:date="2025-07-18T16:04:48Z">
        <w:r>
          <w:rPr>
            <w:rFonts w:hint="eastAsia" w:ascii="宋体" w:hAnsi="宋体" w:eastAsia="宋体" w:cs="宋体"/>
            <w:b w:val="0"/>
            <w:bCs w:val="0"/>
            <w:kern w:val="2"/>
            <w:sz w:val="24"/>
            <w:szCs w:val="24"/>
            <w:lang w:val="en-US" w:eastAsia="zh-CN"/>
          </w:rPr>
          <w:t>测量范围：0-10m（可扩大）</w:t>
        </w:r>
      </w:ins>
    </w:p>
    <w:p w14:paraId="70B4040B">
      <w:pPr>
        <w:spacing w:line="360" w:lineRule="auto"/>
        <w:ind w:firstLine="480" w:firstLineChars="200"/>
        <w:jc w:val="left"/>
        <w:rPr>
          <w:ins w:id="66" w:author="易大林" w:date="2025-07-18T16:04:48Z"/>
          <w:rFonts w:hint="eastAsia" w:ascii="宋体" w:hAnsi="宋体" w:eastAsia="宋体" w:cs="宋体"/>
          <w:b w:val="0"/>
          <w:bCs w:val="0"/>
          <w:kern w:val="2"/>
          <w:sz w:val="24"/>
          <w:szCs w:val="24"/>
          <w:lang w:val="en-US" w:eastAsia="zh-CN"/>
        </w:rPr>
      </w:pPr>
      <w:ins w:id="67" w:author="易大林" w:date="2025-07-18T16:04:48Z">
        <w:r>
          <w:rPr>
            <w:rFonts w:hint="eastAsia" w:ascii="宋体" w:hAnsi="宋体" w:eastAsia="宋体" w:cs="宋体"/>
            <w:b w:val="0"/>
            <w:bCs w:val="0"/>
            <w:kern w:val="2"/>
            <w:sz w:val="24"/>
            <w:szCs w:val="24"/>
            <w:lang w:val="en-US" w:eastAsia="zh-CN"/>
          </w:rPr>
          <w:t>精度：±0.1%F.S.</w:t>
        </w:r>
      </w:ins>
    </w:p>
    <w:p w14:paraId="072B2772">
      <w:pPr>
        <w:spacing w:line="360" w:lineRule="auto"/>
        <w:ind w:firstLine="480" w:firstLineChars="200"/>
        <w:jc w:val="left"/>
        <w:rPr>
          <w:ins w:id="68" w:author="易大林" w:date="2025-07-18T16:04:48Z"/>
          <w:rFonts w:hint="eastAsia" w:ascii="宋体" w:hAnsi="宋体" w:eastAsia="宋体" w:cs="宋体"/>
          <w:b w:val="0"/>
          <w:bCs w:val="0"/>
          <w:kern w:val="2"/>
          <w:sz w:val="24"/>
          <w:szCs w:val="24"/>
          <w:lang w:val="en-US" w:eastAsia="zh-CN"/>
        </w:rPr>
      </w:pPr>
      <w:ins w:id="69" w:author="易大林" w:date="2025-07-18T16:04:48Z">
        <w:r>
          <w:rPr>
            <w:rFonts w:hint="eastAsia" w:ascii="宋体" w:hAnsi="宋体" w:eastAsia="宋体" w:cs="宋体"/>
            <w:b w:val="0"/>
            <w:bCs w:val="0"/>
            <w:kern w:val="2"/>
            <w:sz w:val="24"/>
            <w:szCs w:val="24"/>
            <w:lang w:val="en-US" w:eastAsia="zh-CN"/>
          </w:rPr>
          <w:t>分辨率：1mm</w:t>
        </w:r>
      </w:ins>
    </w:p>
    <w:p w14:paraId="67DAF26E">
      <w:pPr>
        <w:spacing w:line="360" w:lineRule="auto"/>
        <w:ind w:firstLine="480" w:firstLineChars="200"/>
        <w:jc w:val="left"/>
        <w:rPr>
          <w:ins w:id="70" w:author="易大林" w:date="2025-07-18T16:04:48Z"/>
          <w:rFonts w:hint="eastAsia" w:ascii="宋体" w:hAnsi="宋体" w:eastAsia="宋体" w:cs="宋体"/>
          <w:b w:val="0"/>
          <w:bCs w:val="0"/>
          <w:kern w:val="2"/>
          <w:sz w:val="24"/>
          <w:szCs w:val="24"/>
          <w:lang w:val="en-US" w:eastAsia="zh-CN"/>
        </w:rPr>
      </w:pPr>
      <w:ins w:id="71" w:author="易大林" w:date="2025-07-18T16:04:48Z">
        <w:r>
          <w:rPr>
            <w:rFonts w:hint="eastAsia" w:ascii="宋体" w:hAnsi="宋体" w:eastAsia="宋体" w:cs="宋体"/>
            <w:b w:val="0"/>
            <w:bCs w:val="0"/>
            <w:kern w:val="2"/>
            <w:sz w:val="24"/>
            <w:szCs w:val="24"/>
            <w:lang w:val="en-US" w:eastAsia="zh-CN"/>
          </w:rPr>
          <w:t>（3）流量：测量范围：0.001m³/h-999999999m³/h</w:t>
        </w:r>
      </w:ins>
    </w:p>
    <w:p w14:paraId="410CD0CB">
      <w:pPr>
        <w:spacing w:line="360" w:lineRule="auto"/>
        <w:ind w:firstLine="480" w:firstLineChars="200"/>
        <w:jc w:val="left"/>
        <w:rPr>
          <w:ins w:id="72" w:author="易大林" w:date="2025-07-18T16:04:48Z"/>
          <w:rFonts w:hint="eastAsia" w:ascii="宋体" w:hAnsi="宋体" w:eastAsia="宋体" w:cs="宋体"/>
          <w:b w:val="0"/>
          <w:bCs w:val="0"/>
          <w:kern w:val="2"/>
          <w:sz w:val="24"/>
          <w:szCs w:val="24"/>
          <w:lang w:val="en-US" w:eastAsia="zh-CN"/>
        </w:rPr>
      </w:pPr>
      <w:ins w:id="73" w:author="易大林" w:date="2025-07-18T16:04:48Z">
        <w:r>
          <w:rPr>
            <w:rFonts w:hint="eastAsia" w:ascii="宋体" w:hAnsi="宋体" w:eastAsia="宋体" w:cs="宋体"/>
            <w:b w:val="0"/>
            <w:bCs w:val="0"/>
            <w:kern w:val="2"/>
            <w:sz w:val="24"/>
            <w:szCs w:val="24"/>
            <w:lang w:val="en-US" w:eastAsia="zh-CN"/>
          </w:rPr>
          <w:t>（4）温度：</w:t>
        </w:r>
      </w:ins>
    </w:p>
    <w:p w14:paraId="36F06AB7">
      <w:pPr>
        <w:spacing w:line="360" w:lineRule="auto"/>
        <w:ind w:firstLine="480" w:firstLineChars="200"/>
        <w:jc w:val="left"/>
        <w:rPr>
          <w:ins w:id="74" w:author="易大林" w:date="2025-07-18T16:04:48Z"/>
          <w:rFonts w:hint="eastAsia" w:ascii="宋体" w:hAnsi="宋体" w:eastAsia="宋体" w:cs="宋体"/>
          <w:b w:val="0"/>
          <w:bCs w:val="0"/>
          <w:kern w:val="2"/>
          <w:sz w:val="24"/>
          <w:szCs w:val="24"/>
          <w:lang w:val="en-US" w:eastAsia="zh-CN"/>
        </w:rPr>
      </w:pPr>
      <w:ins w:id="75" w:author="易大林" w:date="2025-07-18T16:04:48Z">
        <w:r>
          <w:rPr>
            <w:rFonts w:hint="eastAsia" w:ascii="宋体" w:hAnsi="宋体" w:eastAsia="宋体" w:cs="宋体"/>
            <w:b w:val="0"/>
            <w:bCs w:val="0"/>
            <w:kern w:val="2"/>
            <w:sz w:val="24"/>
            <w:szCs w:val="24"/>
            <w:lang w:val="en-US" w:eastAsia="zh-CN"/>
          </w:rPr>
          <w:t>测量范围：-20℃-60℃</w:t>
        </w:r>
      </w:ins>
    </w:p>
    <w:p w14:paraId="7BB080DA">
      <w:pPr>
        <w:spacing w:line="360" w:lineRule="auto"/>
        <w:ind w:firstLine="480" w:firstLineChars="200"/>
        <w:jc w:val="left"/>
        <w:rPr>
          <w:ins w:id="76" w:author="易大林" w:date="2025-07-18T16:04:48Z"/>
          <w:rFonts w:hint="eastAsia" w:ascii="宋体" w:hAnsi="宋体" w:eastAsia="宋体" w:cs="宋体"/>
          <w:b w:val="0"/>
          <w:bCs w:val="0"/>
          <w:kern w:val="2"/>
          <w:sz w:val="24"/>
          <w:szCs w:val="24"/>
          <w:lang w:val="en-US" w:eastAsia="zh-CN"/>
        </w:rPr>
      </w:pPr>
      <w:ins w:id="77" w:author="易大林" w:date="2025-07-18T16:04:48Z">
        <w:r>
          <w:rPr>
            <w:rFonts w:hint="eastAsia" w:ascii="宋体" w:hAnsi="宋体" w:eastAsia="宋体" w:cs="宋体"/>
            <w:b w:val="0"/>
            <w:bCs w:val="0"/>
            <w:kern w:val="2"/>
            <w:sz w:val="24"/>
            <w:szCs w:val="24"/>
            <w:lang w:val="en-US" w:eastAsia="zh-CN"/>
          </w:rPr>
          <w:t>精度：±0.5℃</w:t>
        </w:r>
      </w:ins>
    </w:p>
    <w:p w14:paraId="09BE043D">
      <w:pPr>
        <w:spacing w:line="360" w:lineRule="auto"/>
        <w:ind w:firstLine="480" w:firstLineChars="200"/>
        <w:jc w:val="left"/>
        <w:rPr>
          <w:ins w:id="78" w:author="易大林" w:date="2025-07-18T16:04:48Z"/>
          <w:rFonts w:hint="eastAsia" w:ascii="宋体" w:hAnsi="宋体" w:eastAsia="宋体" w:cs="宋体"/>
          <w:b w:val="0"/>
          <w:bCs w:val="0"/>
          <w:kern w:val="2"/>
          <w:sz w:val="24"/>
          <w:szCs w:val="24"/>
          <w:lang w:val="en-US" w:eastAsia="zh-CN"/>
        </w:rPr>
      </w:pPr>
      <w:ins w:id="79" w:author="易大林" w:date="2025-07-18T16:04:48Z">
        <w:r>
          <w:rPr>
            <w:rFonts w:hint="eastAsia" w:ascii="宋体" w:hAnsi="宋体" w:eastAsia="宋体" w:cs="宋体"/>
            <w:b w:val="0"/>
            <w:bCs w:val="0"/>
            <w:kern w:val="2"/>
            <w:sz w:val="24"/>
            <w:szCs w:val="24"/>
            <w:lang w:val="en-US" w:eastAsia="zh-CN"/>
          </w:rPr>
          <w:t>分辨率：0.1℃</w:t>
        </w:r>
      </w:ins>
    </w:p>
    <w:p w14:paraId="103E42C0">
      <w:pPr>
        <w:spacing w:line="360" w:lineRule="auto"/>
        <w:ind w:firstLine="480" w:firstLineChars="200"/>
        <w:jc w:val="left"/>
        <w:rPr>
          <w:ins w:id="80" w:author="易大林" w:date="2025-07-18T16:04:48Z"/>
          <w:rFonts w:hint="eastAsia" w:ascii="宋体" w:hAnsi="宋体" w:eastAsia="宋体" w:cs="宋体"/>
          <w:b w:val="0"/>
          <w:bCs w:val="0"/>
          <w:kern w:val="2"/>
          <w:sz w:val="24"/>
          <w:szCs w:val="24"/>
          <w:lang w:val="en-US" w:eastAsia="zh-CN"/>
        </w:rPr>
      </w:pPr>
      <w:ins w:id="81" w:author="易大林" w:date="2025-07-18T16:04:48Z">
        <w:r>
          <w:rPr>
            <w:rFonts w:hint="eastAsia" w:ascii="宋体" w:hAnsi="宋体" w:eastAsia="宋体" w:cs="宋体"/>
            <w:b w:val="0"/>
            <w:bCs w:val="0"/>
            <w:kern w:val="2"/>
            <w:sz w:val="24"/>
            <w:szCs w:val="24"/>
            <w:lang w:val="en-US" w:eastAsia="zh-CN"/>
          </w:rPr>
          <w:t>（5）防护等级：IP68</w:t>
        </w:r>
      </w:ins>
    </w:p>
    <w:p w14:paraId="16E2E6AC">
      <w:pPr>
        <w:spacing w:line="360" w:lineRule="auto"/>
        <w:ind w:firstLine="480" w:firstLineChars="200"/>
        <w:jc w:val="left"/>
        <w:rPr>
          <w:ins w:id="82" w:author="易大林" w:date="2025-07-18T16:04:48Z"/>
          <w:rFonts w:hint="eastAsia" w:ascii="宋体" w:hAnsi="宋体" w:eastAsia="宋体" w:cs="宋体"/>
          <w:b w:val="0"/>
          <w:bCs w:val="0"/>
          <w:kern w:val="2"/>
          <w:sz w:val="24"/>
          <w:szCs w:val="24"/>
          <w:lang w:val="en-US" w:eastAsia="zh-CN"/>
        </w:rPr>
      </w:pPr>
      <w:ins w:id="83" w:author="易大林" w:date="2025-07-18T16:04:48Z">
        <w:r>
          <w:rPr>
            <w:rFonts w:hint="eastAsia" w:ascii="宋体" w:hAnsi="宋体" w:eastAsia="宋体" w:cs="宋体"/>
            <w:b w:val="0"/>
            <w:bCs w:val="0"/>
            <w:kern w:val="2"/>
            <w:sz w:val="24"/>
            <w:szCs w:val="24"/>
            <w:lang w:val="en-US" w:eastAsia="zh-CN"/>
          </w:rPr>
          <w:t>（6）具备防爆功能</w:t>
        </w:r>
      </w:ins>
    </w:p>
    <w:p w14:paraId="19BBEC4E">
      <w:pPr>
        <w:spacing w:line="360" w:lineRule="auto"/>
        <w:ind w:firstLine="480" w:firstLineChars="200"/>
        <w:jc w:val="left"/>
        <w:rPr>
          <w:ins w:id="84" w:author="易大林" w:date="2025-07-18T16:04:48Z"/>
          <w:rFonts w:hint="eastAsia" w:ascii="宋体" w:hAnsi="宋体" w:eastAsia="宋体" w:cs="宋体"/>
          <w:b w:val="0"/>
          <w:bCs w:val="0"/>
          <w:kern w:val="2"/>
          <w:sz w:val="24"/>
          <w:szCs w:val="24"/>
          <w:lang w:val="en-US" w:eastAsia="zh-CN"/>
        </w:rPr>
      </w:pPr>
      <w:ins w:id="85" w:author="易大林" w:date="2025-07-18T16:04:48Z">
        <w:r>
          <w:rPr>
            <w:rFonts w:hint="eastAsia" w:ascii="宋体" w:hAnsi="宋体" w:eastAsia="宋体" w:cs="宋体"/>
            <w:b w:val="0"/>
            <w:bCs w:val="0"/>
            <w:kern w:val="2"/>
            <w:sz w:val="24"/>
            <w:szCs w:val="24"/>
            <w:lang w:val="en-US" w:eastAsia="zh-CN"/>
          </w:rPr>
          <w:t>6、水位计</w:t>
        </w:r>
      </w:ins>
    </w:p>
    <w:p w14:paraId="37A3B0D9">
      <w:pPr>
        <w:spacing w:line="360" w:lineRule="auto"/>
        <w:ind w:firstLine="480" w:firstLineChars="200"/>
        <w:jc w:val="left"/>
        <w:rPr>
          <w:ins w:id="86" w:author="易大林" w:date="2025-07-18T16:04:48Z"/>
          <w:rFonts w:hint="eastAsia" w:ascii="宋体" w:hAnsi="宋体" w:eastAsia="宋体" w:cs="宋体"/>
          <w:b w:val="0"/>
          <w:bCs w:val="0"/>
          <w:kern w:val="2"/>
          <w:sz w:val="24"/>
          <w:szCs w:val="24"/>
          <w:lang w:val="en-US" w:eastAsia="zh-CN"/>
        </w:rPr>
      </w:pPr>
      <w:ins w:id="87" w:author="易大林" w:date="2025-07-18T16:04:48Z">
        <w:r>
          <w:rPr>
            <w:rFonts w:hint="eastAsia" w:ascii="宋体" w:hAnsi="宋体" w:eastAsia="宋体" w:cs="宋体"/>
            <w:b w:val="0"/>
            <w:bCs w:val="0"/>
            <w:kern w:val="2"/>
            <w:sz w:val="24"/>
            <w:szCs w:val="24"/>
            <w:lang w:val="en-US" w:eastAsia="zh-CN"/>
          </w:rPr>
          <w:t>发射频率</w:t>
        </w:r>
      </w:ins>
      <w:ins w:id="88" w:author="易大林" w:date="2025-07-18T16:04:48Z">
        <w:r>
          <w:rPr>
            <w:rFonts w:hint="eastAsia" w:ascii="宋体" w:hAnsi="宋体" w:eastAsia="宋体" w:cs="宋体"/>
            <w:b w:val="0"/>
            <w:bCs w:val="0"/>
            <w:kern w:val="2"/>
            <w:sz w:val="24"/>
            <w:szCs w:val="24"/>
            <w:lang w:val="en-US" w:eastAsia="zh-CN"/>
          </w:rPr>
          <w:tab/>
        </w:r>
      </w:ins>
      <w:ins w:id="89" w:author="易大林" w:date="2025-07-18T16:04:48Z">
        <w:r>
          <w:rPr>
            <w:rFonts w:hint="eastAsia" w:ascii="宋体" w:hAnsi="宋体" w:eastAsia="宋体" w:cs="宋体"/>
            <w:b w:val="0"/>
            <w:bCs w:val="0"/>
            <w:kern w:val="2"/>
            <w:sz w:val="24"/>
            <w:szCs w:val="24"/>
            <w:lang w:val="en-US" w:eastAsia="zh-CN"/>
          </w:rPr>
          <w:t>76GHz~81GHz</w:t>
        </w:r>
      </w:ins>
    </w:p>
    <w:p w14:paraId="281DA329">
      <w:pPr>
        <w:spacing w:line="360" w:lineRule="auto"/>
        <w:ind w:firstLine="480" w:firstLineChars="200"/>
        <w:jc w:val="left"/>
        <w:rPr>
          <w:ins w:id="90" w:author="易大林" w:date="2025-07-18T16:04:48Z"/>
          <w:rFonts w:hint="eastAsia" w:ascii="宋体" w:hAnsi="宋体" w:eastAsia="宋体" w:cs="宋体"/>
          <w:b w:val="0"/>
          <w:bCs w:val="0"/>
          <w:kern w:val="2"/>
          <w:sz w:val="24"/>
          <w:szCs w:val="24"/>
          <w:lang w:val="en-US" w:eastAsia="zh-CN"/>
        </w:rPr>
      </w:pPr>
      <w:ins w:id="91" w:author="易大林" w:date="2025-07-18T16:04:48Z">
        <w:r>
          <w:rPr>
            <w:rFonts w:hint="eastAsia" w:ascii="宋体" w:hAnsi="宋体" w:eastAsia="宋体" w:cs="宋体"/>
            <w:b w:val="0"/>
            <w:bCs w:val="0"/>
            <w:kern w:val="2"/>
            <w:sz w:val="24"/>
            <w:szCs w:val="24"/>
            <w:lang w:val="en-US" w:eastAsia="zh-CN"/>
          </w:rPr>
          <w:t>测量范围</w:t>
        </w:r>
      </w:ins>
      <w:ins w:id="92" w:author="易大林" w:date="2025-07-18T16:04:48Z">
        <w:r>
          <w:rPr>
            <w:rFonts w:hint="eastAsia" w:ascii="宋体" w:hAnsi="宋体" w:eastAsia="宋体" w:cs="宋体"/>
            <w:b w:val="0"/>
            <w:bCs w:val="0"/>
            <w:kern w:val="2"/>
            <w:sz w:val="24"/>
            <w:szCs w:val="24"/>
            <w:lang w:val="en-US" w:eastAsia="zh-CN"/>
          </w:rPr>
          <w:tab/>
        </w:r>
      </w:ins>
      <w:ins w:id="93" w:author="易大林" w:date="2025-07-18T16:04:48Z">
        <w:r>
          <w:rPr>
            <w:rFonts w:hint="eastAsia" w:ascii="宋体" w:hAnsi="宋体" w:eastAsia="宋体" w:cs="宋体"/>
            <w:b w:val="0"/>
            <w:bCs w:val="0"/>
            <w:kern w:val="2"/>
            <w:sz w:val="24"/>
            <w:szCs w:val="24"/>
            <w:lang w:val="en-US" w:eastAsia="zh-CN"/>
          </w:rPr>
          <w:t>0.1m~65m</w:t>
        </w:r>
      </w:ins>
    </w:p>
    <w:p w14:paraId="0A9263AF">
      <w:pPr>
        <w:spacing w:line="360" w:lineRule="auto"/>
        <w:ind w:firstLine="480" w:firstLineChars="200"/>
        <w:jc w:val="left"/>
        <w:rPr>
          <w:ins w:id="94" w:author="易大林" w:date="2025-07-18T16:04:48Z"/>
          <w:rFonts w:hint="eastAsia" w:ascii="宋体" w:hAnsi="宋体" w:eastAsia="宋体" w:cs="宋体"/>
          <w:b w:val="0"/>
          <w:bCs w:val="0"/>
          <w:kern w:val="2"/>
          <w:sz w:val="24"/>
          <w:szCs w:val="24"/>
          <w:lang w:val="en-US" w:eastAsia="zh-CN"/>
        </w:rPr>
      </w:pPr>
      <w:ins w:id="95" w:author="易大林" w:date="2025-07-18T16:04:48Z">
        <w:r>
          <w:rPr>
            <w:rFonts w:hint="eastAsia" w:ascii="宋体" w:hAnsi="宋体" w:eastAsia="宋体" w:cs="宋体"/>
            <w:b w:val="0"/>
            <w:bCs w:val="0"/>
            <w:kern w:val="2"/>
            <w:sz w:val="24"/>
            <w:szCs w:val="24"/>
            <w:lang w:val="en-US" w:eastAsia="zh-CN"/>
          </w:rPr>
          <w:t>测量精度</w:t>
        </w:r>
      </w:ins>
      <w:ins w:id="96" w:author="易大林" w:date="2025-07-18T16:04:48Z">
        <w:r>
          <w:rPr>
            <w:rFonts w:hint="eastAsia" w:ascii="宋体" w:hAnsi="宋体" w:eastAsia="宋体" w:cs="宋体"/>
            <w:b w:val="0"/>
            <w:bCs w:val="0"/>
            <w:kern w:val="2"/>
            <w:sz w:val="24"/>
            <w:szCs w:val="24"/>
            <w:lang w:val="en-US" w:eastAsia="zh-CN"/>
          </w:rPr>
          <w:tab/>
        </w:r>
      </w:ins>
      <w:ins w:id="97" w:author="易大林" w:date="2025-07-18T16:04:48Z">
        <w:r>
          <w:rPr>
            <w:rFonts w:hint="eastAsia" w:ascii="宋体" w:hAnsi="宋体" w:eastAsia="宋体" w:cs="宋体"/>
            <w:b w:val="0"/>
            <w:bCs w:val="0"/>
            <w:kern w:val="2"/>
            <w:sz w:val="24"/>
            <w:szCs w:val="24"/>
            <w:lang w:val="en-US" w:eastAsia="zh-CN"/>
          </w:rPr>
          <w:t>±lmm</w:t>
        </w:r>
      </w:ins>
    </w:p>
    <w:p w14:paraId="4517B495">
      <w:pPr>
        <w:spacing w:line="360" w:lineRule="auto"/>
        <w:ind w:firstLine="480" w:firstLineChars="200"/>
        <w:jc w:val="left"/>
        <w:rPr>
          <w:ins w:id="98" w:author="易大林" w:date="2025-07-18T16:04:48Z"/>
          <w:rFonts w:hint="eastAsia" w:ascii="宋体" w:hAnsi="宋体" w:eastAsia="宋体" w:cs="宋体"/>
          <w:b w:val="0"/>
          <w:bCs w:val="0"/>
          <w:kern w:val="2"/>
          <w:sz w:val="24"/>
          <w:szCs w:val="24"/>
          <w:lang w:val="en-US" w:eastAsia="zh-CN"/>
        </w:rPr>
      </w:pPr>
      <w:ins w:id="99" w:author="易大林" w:date="2025-07-18T16:04:48Z">
        <w:r>
          <w:rPr>
            <w:rFonts w:hint="eastAsia" w:ascii="宋体" w:hAnsi="宋体" w:eastAsia="宋体" w:cs="宋体"/>
            <w:b w:val="0"/>
            <w:bCs w:val="0"/>
            <w:kern w:val="2"/>
            <w:sz w:val="24"/>
            <w:szCs w:val="24"/>
            <w:lang w:val="en-US" w:eastAsia="zh-CN"/>
          </w:rPr>
          <w:t>波束角</w:t>
        </w:r>
      </w:ins>
      <w:ins w:id="100" w:author="易大林" w:date="2025-07-18T16:04:48Z">
        <w:r>
          <w:rPr>
            <w:rFonts w:hint="eastAsia" w:ascii="宋体" w:hAnsi="宋体" w:eastAsia="宋体" w:cs="宋体"/>
            <w:b w:val="0"/>
            <w:bCs w:val="0"/>
            <w:kern w:val="2"/>
            <w:sz w:val="24"/>
            <w:szCs w:val="24"/>
            <w:lang w:val="en-US" w:eastAsia="zh-CN"/>
          </w:rPr>
          <w:tab/>
        </w:r>
      </w:ins>
      <w:ins w:id="101" w:author="易大林" w:date="2025-07-18T16:04:48Z">
        <w:r>
          <w:rPr>
            <w:rFonts w:hint="eastAsia" w:ascii="宋体" w:hAnsi="宋体" w:eastAsia="宋体" w:cs="宋体"/>
            <w:b w:val="0"/>
            <w:bCs w:val="0"/>
            <w:kern w:val="2"/>
            <w:sz w:val="24"/>
            <w:szCs w:val="24"/>
            <w:lang w:val="en-US" w:eastAsia="zh-CN"/>
          </w:rPr>
          <w:t>6°</w:t>
        </w:r>
      </w:ins>
    </w:p>
    <w:p w14:paraId="5AD55A8A">
      <w:pPr>
        <w:spacing w:line="360" w:lineRule="auto"/>
        <w:ind w:firstLine="480" w:firstLineChars="200"/>
        <w:jc w:val="left"/>
        <w:rPr>
          <w:ins w:id="102" w:author="易大林" w:date="2025-07-18T16:04:48Z"/>
          <w:rFonts w:hint="eastAsia" w:ascii="宋体" w:hAnsi="宋体" w:eastAsia="宋体" w:cs="宋体"/>
          <w:b w:val="0"/>
          <w:bCs w:val="0"/>
          <w:kern w:val="2"/>
          <w:sz w:val="24"/>
          <w:szCs w:val="24"/>
          <w:lang w:val="en-US" w:eastAsia="zh-CN"/>
        </w:rPr>
      </w:pPr>
      <w:ins w:id="103" w:author="易大林" w:date="2025-07-18T16:04:48Z">
        <w:r>
          <w:rPr>
            <w:rFonts w:hint="eastAsia" w:ascii="宋体" w:hAnsi="宋体" w:eastAsia="宋体" w:cs="宋体"/>
            <w:b w:val="0"/>
            <w:bCs w:val="0"/>
            <w:kern w:val="2"/>
            <w:sz w:val="24"/>
            <w:szCs w:val="24"/>
            <w:lang w:val="en-US" w:eastAsia="zh-CN"/>
          </w:rPr>
          <w:t>供电范围</w:t>
        </w:r>
      </w:ins>
      <w:ins w:id="104" w:author="易大林" w:date="2025-07-18T16:04:48Z">
        <w:r>
          <w:rPr>
            <w:rFonts w:hint="eastAsia" w:ascii="宋体" w:hAnsi="宋体" w:eastAsia="宋体" w:cs="宋体"/>
            <w:b w:val="0"/>
            <w:bCs w:val="0"/>
            <w:kern w:val="2"/>
            <w:sz w:val="24"/>
            <w:szCs w:val="24"/>
            <w:lang w:val="en-US" w:eastAsia="zh-CN"/>
          </w:rPr>
          <w:tab/>
        </w:r>
      </w:ins>
      <w:ins w:id="105" w:author="易大林" w:date="2025-07-18T16:04:48Z">
        <w:r>
          <w:rPr>
            <w:rFonts w:hint="eastAsia" w:ascii="宋体" w:hAnsi="宋体" w:eastAsia="宋体" w:cs="宋体"/>
            <w:b w:val="0"/>
            <w:bCs w:val="0"/>
            <w:kern w:val="2"/>
            <w:sz w:val="24"/>
            <w:szCs w:val="24"/>
            <w:lang w:val="en-US" w:eastAsia="zh-CN"/>
          </w:rPr>
          <w:t>9~36VDC</w:t>
        </w:r>
      </w:ins>
    </w:p>
    <w:p w14:paraId="2F741D30">
      <w:pPr>
        <w:spacing w:line="360" w:lineRule="auto"/>
        <w:ind w:firstLine="480" w:firstLineChars="200"/>
        <w:jc w:val="left"/>
        <w:rPr>
          <w:ins w:id="106" w:author="易大林" w:date="2025-07-18T16:04:48Z"/>
          <w:rFonts w:hint="eastAsia" w:ascii="宋体" w:hAnsi="宋体" w:eastAsia="宋体" w:cs="宋体"/>
          <w:b w:val="0"/>
          <w:bCs w:val="0"/>
          <w:kern w:val="2"/>
          <w:sz w:val="24"/>
          <w:szCs w:val="24"/>
          <w:lang w:val="en-US" w:eastAsia="zh-CN"/>
        </w:rPr>
      </w:pPr>
      <w:ins w:id="107" w:author="易大林" w:date="2025-07-18T16:04:48Z">
        <w:r>
          <w:rPr>
            <w:rFonts w:hint="eastAsia" w:ascii="宋体" w:hAnsi="宋体" w:eastAsia="宋体" w:cs="宋体"/>
            <w:b w:val="0"/>
            <w:bCs w:val="0"/>
            <w:kern w:val="2"/>
            <w:sz w:val="24"/>
            <w:szCs w:val="24"/>
            <w:lang w:val="en-US" w:eastAsia="zh-CN"/>
          </w:rPr>
          <w:t>通讯方式</w:t>
        </w:r>
      </w:ins>
      <w:ins w:id="108" w:author="易大林" w:date="2025-07-18T16:04:48Z">
        <w:r>
          <w:rPr>
            <w:rFonts w:hint="eastAsia" w:ascii="宋体" w:hAnsi="宋体" w:eastAsia="宋体" w:cs="宋体"/>
            <w:b w:val="0"/>
            <w:bCs w:val="0"/>
            <w:kern w:val="2"/>
            <w:sz w:val="24"/>
            <w:szCs w:val="24"/>
            <w:lang w:val="en-US" w:eastAsia="zh-CN"/>
          </w:rPr>
          <w:tab/>
        </w:r>
      </w:ins>
      <w:ins w:id="109" w:author="易大林" w:date="2025-07-18T16:04:48Z">
        <w:r>
          <w:rPr>
            <w:rFonts w:hint="eastAsia" w:ascii="宋体" w:hAnsi="宋体" w:eastAsia="宋体" w:cs="宋体"/>
            <w:b w:val="0"/>
            <w:bCs w:val="0"/>
            <w:kern w:val="2"/>
            <w:sz w:val="24"/>
            <w:szCs w:val="24"/>
            <w:lang w:val="en-US" w:eastAsia="zh-CN"/>
          </w:rPr>
          <w:t>RS485</w:t>
        </w:r>
      </w:ins>
    </w:p>
    <w:p w14:paraId="55575E0A">
      <w:pPr>
        <w:spacing w:line="360" w:lineRule="auto"/>
        <w:ind w:firstLine="480" w:firstLineChars="200"/>
        <w:jc w:val="left"/>
        <w:rPr>
          <w:ins w:id="110" w:author="易大林" w:date="2025-07-18T16:04:48Z"/>
          <w:rFonts w:hint="eastAsia" w:ascii="宋体" w:hAnsi="宋体" w:eastAsia="宋体" w:cs="宋体"/>
          <w:b w:val="0"/>
          <w:bCs w:val="0"/>
          <w:kern w:val="2"/>
          <w:sz w:val="24"/>
          <w:szCs w:val="24"/>
          <w:lang w:val="en-US" w:eastAsia="zh-CN"/>
        </w:rPr>
      </w:pPr>
      <w:ins w:id="111" w:author="易大林" w:date="2025-07-18T16:04:48Z">
        <w:r>
          <w:rPr>
            <w:rFonts w:hint="eastAsia" w:ascii="宋体" w:hAnsi="宋体" w:eastAsia="宋体" w:cs="宋体"/>
            <w:b w:val="0"/>
            <w:bCs w:val="0"/>
            <w:kern w:val="2"/>
            <w:sz w:val="24"/>
            <w:szCs w:val="24"/>
            <w:lang w:val="en-US" w:eastAsia="zh-CN"/>
          </w:rPr>
          <w:t>工作温度</w:t>
        </w:r>
      </w:ins>
      <w:ins w:id="112" w:author="易大林" w:date="2025-07-18T16:04:48Z">
        <w:r>
          <w:rPr>
            <w:rFonts w:hint="eastAsia" w:ascii="宋体" w:hAnsi="宋体" w:eastAsia="宋体" w:cs="宋体"/>
            <w:b w:val="0"/>
            <w:bCs w:val="0"/>
            <w:kern w:val="2"/>
            <w:sz w:val="24"/>
            <w:szCs w:val="24"/>
            <w:lang w:val="en-US" w:eastAsia="zh-CN"/>
          </w:rPr>
          <w:tab/>
        </w:r>
      </w:ins>
      <w:ins w:id="113" w:author="易大林" w:date="2025-07-18T16:04:48Z">
        <w:r>
          <w:rPr>
            <w:rFonts w:hint="eastAsia" w:ascii="宋体" w:hAnsi="宋体" w:eastAsia="宋体" w:cs="宋体"/>
            <w:b w:val="0"/>
            <w:bCs w:val="0"/>
            <w:kern w:val="2"/>
            <w:sz w:val="24"/>
            <w:szCs w:val="24"/>
            <w:lang w:val="en-US" w:eastAsia="zh-CN"/>
          </w:rPr>
          <w:t>-40~85℃</w:t>
        </w:r>
      </w:ins>
    </w:p>
    <w:p w14:paraId="432ECB62">
      <w:pPr>
        <w:spacing w:line="360" w:lineRule="auto"/>
        <w:ind w:firstLine="480" w:firstLineChars="200"/>
        <w:jc w:val="left"/>
        <w:rPr>
          <w:ins w:id="114" w:author="易大林" w:date="2025-07-18T16:04:48Z"/>
          <w:rFonts w:hint="eastAsia" w:ascii="宋体" w:hAnsi="宋体" w:eastAsia="宋体" w:cs="宋体"/>
          <w:b w:val="0"/>
          <w:bCs w:val="0"/>
          <w:kern w:val="2"/>
          <w:sz w:val="24"/>
          <w:szCs w:val="24"/>
          <w:lang w:val="en-US" w:eastAsia="zh-CN"/>
        </w:rPr>
      </w:pPr>
      <w:ins w:id="115" w:author="易大林" w:date="2025-07-18T16:04:48Z">
        <w:r>
          <w:rPr>
            <w:rFonts w:hint="eastAsia" w:ascii="宋体" w:hAnsi="宋体" w:eastAsia="宋体" w:cs="宋体"/>
            <w:b w:val="0"/>
            <w:bCs w:val="0"/>
            <w:kern w:val="2"/>
            <w:sz w:val="24"/>
            <w:szCs w:val="24"/>
            <w:lang w:val="en-US" w:eastAsia="zh-CN"/>
          </w:rPr>
          <w:t>外壳材质</w:t>
        </w:r>
      </w:ins>
      <w:ins w:id="116" w:author="易大林" w:date="2025-07-18T16:04:48Z">
        <w:r>
          <w:rPr>
            <w:rFonts w:hint="eastAsia" w:ascii="宋体" w:hAnsi="宋体" w:eastAsia="宋体" w:cs="宋体"/>
            <w:b w:val="0"/>
            <w:bCs w:val="0"/>
            <w:kern w:val="2"/>
            <w:sz w:val="24"/>
            <w:szCs w:val="24"/>
            <w:lang w:val="en-US" w:eastAsia="zh-CN"/>
          </w:rPr>
          <w:tab/>
        </w:r>
      </w:ins>
      <w:ins w:id="117" w:author="易大林" w:date="2025-07-18T16:04:48Z">
        <w:r>
          <w:rPr>
            <w:rFonts w:hint="eastAsia" w:ascii="宋体" w:hAnsi="宋体" w:eastAsia="宋体" w:cs="宋体"/>
            <w:b w:val="0"/>
            <w:bCs w:val="0"/>
            <w:kern w:val="2"/>
            <w:sz w:val="24"/>
            <w:szCs w:val="24"/>
            <w:lang w:val="en-US" w:eastAsia="zh-CN"/>
          </w:rPr>
          <w:t>不锈钢/PP</w:t>
        </w:r>
      </w:ins>
    </w:p>
    <w:p w14:paraId="2B37CA7C">
      <w:pPr>
        <w:spacing w:line="360" w:lineRule="auto"/>
        <w:ind w:firstLine="480" w:firstLineChars="200"/>
        <w:jc w:val="left"/>
        <w:rPr>
          <w:ins w:id="118" w:author="易大林" w:date="2025-07-18T16:04:48Z"/>
          <w:rFonts w:hint="eastAsia" w:ascii="宋体" w:hAnsi="宋体" w:eastAsia="宋体" w:cs="宋体"/>
          <w:b w:val="0"/>
          <w:bCs w:val="0"/>
          <w:kern w:val="2"/>
          <w:sz w:val="24"/>
          <w:szCs w:val="24"/>
          <w:lang w:val="en-US" w:eastAsia="zh-CN"/>
        </w:rPr>
      </w:pPr>
      <w:ins w:id="119" w:author="易大林" w:date="2025-07-18T16:04:48Z">
        <w:r>
          <w:rPr>
            <w:rFonts w:hint="eastAsia" w:ascii="宋体" w:hAnsi="宋体" w:eastAsia="宋体" w:cs="宋体"/>
            <w:b w:val="0"/>
            <w:bCs w:val="0"/>
            <w:kern w:val="2"/>
            <w:sz w:val="24"/>
            <w:szCs w:val="24"/>
            <w:lang w:val="en-US" w:eastAsia="zh-CN"/>
          </w:rPr>
          <w:t>天线类型</w:t>
        </w:r>
      </w:ins>
      <w:ins w:id="120" w:author="易大林" w:date="2025-07-18T16:04:48Z">
        <w:r>
          <w:rPr>
            <w:rFonts w:hint="eastAsia" w:ascii="宋体" w:hAnsi="宋体" w:eastAsia="宋体" w:cs="宋体"/>
            <w:b w:val="0"/>
            <w:bCs w:val="0"/>
            <w:kern w:val="2"/>
            <w:sz w:val="24"/>
            <w:szCs w:val="24"/>
            <w:lang w:val="en-US" w:eastAsia="zh-CN"/>
          </w:rPr>
          <w:tab/>
        </w:r>
      </w:ins>
      <w:ins w:id="121" w:author="易大林" w:date="2025-07-18T16:04:48Z">
        <w:r>
          <w:rPr>
            <w:rFonts w:hint="eastAsia" w:ascii="宋体" w:hAnsi="宋体" w:eastAsia="宋体" w:cs="宋体"/>
            <w:b w:val="0"/>
            <w:bCs w:val="0"/>
            <w:kern w:val="2"/>
            <w:sz w:val="24"/>
            <w:szCs w:val="24"/>
            <w:lang w:val="en-US" w:eastAsia="zh-CN"/>
          </w:rPr>
          <w:t>透镜天线</w:t>
        </w:r>
      </w:ins>
    </w:p>
    <w:p w14:paraId="3C292066">
      <w:pPr>
        <w:spacing w:line="360" w:lineRule="auto"/>
        <w:ind w:firstLine="480" w:firstLineChars="200"/>
        <w:jc w:val="left"/>
        <w:rPr>
          <w:ins w:id="122" w:author="易大林" w:date="2025-07-18T16:04:48Z"/>
          <w:rFonts w:hint="eastAsia" w:ascii="宋体" w:hAnsi="宋体" w:eastAsia="宋体" w:cs="宋体"/>
          <w:b w:val="0"/>
          <w:bCs w:val="0"/>
          <w:kern w:val="2"/>
          <w:sz w:val="24"/>
          <w:szCs w:val="24"/>
          <w:lang w:val="en-US" w:eastAsia="zh-CN"/>
        </w:rPr>
      </w:pPr>
      <w:ins w:id="123" w:author="易大林" w:date="2025-07-18T16:04:48Z">
        <w:r>
          <w:rPr>
            <w:rFonts w:hint="eastAsia" w:ascii="宋体" w:hAnsi="宋体" w:eastAsia="宋体" w:cs="宋体"/>
            <w:b w:val="0"/>
            <w:bCs w:val="0"/>
            <w:kern w:val="2"/>
            <w:sz w:val="24"/>
            <w:szCs w:val="24"/>
            <w:lang w:val="en-US" w:eastAsia="zh-CN"/>
          </w:rPr>
          <w:t>推荐线缆</w:t>
        </w:r>
      </w:ins>
      <w:ins w:id="124" w:author="易大林" w:date="2025-07-18T16:04:48Z">
        <w:r>
          <w:rPr>
            <w:rFonts w:hint="eastAsia" w:ascii="宋体" w:hAnsi="宋体" w:eastAsia="宋体" w:cs="宋体"/>
            <w:b w:val="0"/>
            <w:bCs w:val="0"/>
            <w:kern w:val="2"/>
            <w:sz w:val="24"/>
            <w:szCs w:val="24"/>
            <w:lang w:val="en-US" w:eastAsia="zh-CN"/>
          </w:rPr>
          <w:tab/>
        </w:r>
      </w:ins>
      <w:ins w:id="125" w:author="易大林" w:date="2025-07-18T16:04:48Z">
        <w:r>
          <w:rPr>
            <w:rFonts w:hint="eastAsia" w:ascii="宋体" w:hAnsi="宋体" w:eastAsia="宋体" w:cs="宋体"/>
            <w:b w:val="0"/>
            <w:bCs w:val="0"/>
            <w:kern w:val="2"/>
            <w:sz w:val="24"/>
            <w:szCs w:val="24"/>
            <w:lang w:val="en-US" w:eastAsia="zh-CN"/>
          </w:rPr>
          <w:t>0.35mm2</w:t>
        </w:r>
      </w:ins>
    </w:p>
    <w:p w14:paraId="0CC4917B">
      <w:pPr>
        <w:spacing w:line="360" w:lineRule="auto"/>
        <w:ind w:firstLine="480" w:firstLineChars="200"/>
        <w:jc w:val="left"/>
        <w:rPr>
          <w:ins w:id="126" w:author="易大林" w:date="2025-07-18T16:04:48Z"/>
          <w:rFonts w:hint="eastAsia" w:ascii="宋体" w:hAnsi="宋体" w:eastAsia="宋体" w:cs="宋体"/>
          <w:b w:val="0"/>
          <w:bCs w:val="0"/>
          <w:kern w:val="2"/>
          <w:sz w:val="24"/>
          <w:szCs w:val="24"/>
          <w:lang w:val="en-US" w:eastAsia="zh-CN"/>
        </w:rPr>
      </w:pPr>
      <w:ins w:id="127" w:author="易大林" w:date="2025-07-18T16:04:48Z">
        <w:r>
          <w:rPr>
            <w:rFonts w:hint="eastAsia" w:ascii="宋体" w:hAnsi="宋体" w:eastAsia="宋体" w:cs="宋体"/>
            <w:b w:val="0"/>
            <w:bCs w:val="0"/>
            <w:kern w:val="2"/>
            <w:sz w:val="24"/>
            <w:szCs w:val="24"/>
            <w:lang w:val="en-US" w:eastAsia="zh-CN"/>
          </w:rPr>
          <w:t>防护等级</w:t>
        </w:r>
      </w:ins>
      <w:ins w:id="128" w:author="易大林" w:date="2025-07-18T16:04:48Z">
        <w:r>
          <w:rPr>
            <w:rFonts w:hint="eastAsia" w:ascii="宋体" w:hAnsi="宋体" w:eastAsia="宋体" w:cs="宋体"/>
            <w:b w:val="0"/>
            <w:bCs w:val="0"/>
            <w:kern w:val="2"/>
            <w:sz w:val="24"/>
            <w:szCs w:val="24"/>
            <w:lang w:val="en-US" w:eastAsia="zh-CN"/>
          </w:rPr>
          <w:tab/>
        </w:r>
      </w:ins>
      <w:ins w:id="129" w:author="易大林" w:date="2025-07-18T16:04:48Z">
        <w:r>
          <w:rPr>
            <w:rFonts w:hint="eastAsia" w:ascii="宋体" w:hAnsi="宋体" w:eastAsia="宋体" w:cs="宋体"/>
            <w:b w:val="0"/>
            <w:bCs w:val="0"/>
            <w:kern w:val="2"/>
            <w:sz w:val="24"/>
            <w:szCs w:val="24"/>
            <w:lang w:val="en-US" w:eastAsia="zh-CN"/>
          </w:rPr>
          <w:t>IP67</w:t>
        </w:r>
      </w:ins>
    </w:p>
    <w:p w14:paraId="51AF9C57">
      <w:pPr>
        <w:spacing w:line="360" w:lineRule="auto"/>
        <w:ind w:firstLine="480" w:firstLineChars="200"/>
        <w:jc w:val="left"/>
        <w:rPr>
          <w:ins w:id="130" w:author="易大林" w:date="2025-07-18T16:04:48Z"/>
          <w:rFonts w:hint="eastAsia" w:ascii="宋体" w:hAnsi="宋体" w:eastAsia="宋体" w:cs="宋体"/>
          <w:b w:val="0"/>
          <w:bCs w:val="0"/>
          <w:kern w:val="2"/>
          <w:sz w:val="24"/>
          <w:szCs w:val="24"/>
          <w:lang w:val="en-US" w:eastAsia="zh-CN"/>
        </w:rPr>
      </w:pPr>
      <w:ins w:id="131" w:author="易大林" w:date="2025-07-18T16:04:48Z">
        <w:r>
          <w:rPr>
            <w:rFonts w:hint="eastAsia" w:ascii="宋体" w:hAnsi="宋体" w:eastAsia="宋体" w:cs="宋体"/>
            <w:b w:val="0"/>
            <w:bCs w:val="0"/>
            <w:kern w:val="2"/>
            <w:sz w:val="24"/>
            <w:szCs w:val="24"/>
            <w:lang w:val="en-US" w:eastAsia="zh-CN"/>
          </w:rPr>
          <w:t>安装方式</w:t>
        </w:r>
      </w:ins>
      <w:ins w:id="132" w:author="易大林" w:date="2025-07-18T16:04:48Z">
        <w:r>
          <w:rPr>
            <w:rFonts w:hint="eastAsia" w:ascii="宋体" w:hAnsi="宋体" w:eastAsia="宋体" w:cs="宋体"/>
            <w:b w:val="0"/>
            <w:bCs w:val="0"/>
            <w:kern w:val="2"/>
            <w:sz w:val="24"/>
            <w:szCs w:val="24"/>
            <w:lang w:val="en-US" w:eastAsia="zh-CN"/>
          </w:rPr>
          <w:tab/>
        </w:r>
      </w:ins>
      <w:ins w:id="133" w:author="易大林" w:date="2025-07-18T16:04:48Z">
        <w:r>
          <w:rPr>
            <w:rFonts w:hint="eastAsia" w:ascii="宋体" w:hAnsi="宋体" w:eastAsia="宋体" w:cs="宋体"/>
            <w:b w:val="0"/>
            <w:bCs w:val="0"/>
            <w:kern w:val="2"/>
            <w:sz w:val="24"/>
            <w:szCs w:val="24"/>
            <w:lang w:val="en-US" w:eastAsia="zh-CN"/>
          </w:rPr>
          <w:t>支架/螺纹</w:t>
        </w:r>
      </w:ins>
    </w:p>
    <w:p w14:paraId="77C949B3">
      <w:pPr>
        <w:spacing w:line="360" w:lineRule="auto"/>
        <w:ind w:firstLine="480" w:firstLineChars="200"/>
        <w:jc w:val="left"/>
        <w:rPr>
          <w:ins w:id="134" w:author="易大林" w:date="2025-07-18T16:04:48Z"/>
          <w:rFonts w:hint="eastAsia" w:ascii="宋体" w:hAnsi="宋体" w:eastAsia="宋体" w:cs="宋体"/>
          <w:b w:val="0"/>
          <w:bCs w:val="0"/>
          <w:kern w:val="2"/>
          <w:sz w:val="24"/>
          <w:szCs w:val="24"/>
          <w:lang w:val="en-US" w:eastAsia="zh-CN"/>
        </w:rPr>
      </w:pPr>
      <w:ins w:id="135" w:author="易大林" w:date="2025-07-18T16:04:48Z">
        <w:r>
          <w:rPr>
            <w:rFonts w:hint="eastAsia" w:ascii="宋体" w:hAnsi="宋体" w:eastAsia="宋体" w:cs="宋体"/>
            <w:b w:val="0"/>
            <w:bCs w:val="0"/>
            <w:kern w:val="2"/>
            <w:sz w:val="24"/>
            <w:szCs w:val="24"/>
            <w:lang w:val="en-US" w:eastAsia="zh-CN"/>
          </w:rPr>
          <w:t>电缆入口</w:t>
        </w:r>
      </w:ins>
      <w:ins w:id="136" w:author="易大林" w:date="2025-07-18T16:04:48Z">
        <w:r>
          <w:rPr>
            <w:rFonts w:hint="eastAsia" w:ascii="宋体" w:hAnsi="宋体" w:eastAsia="宋体" w:cs="宋体"/>
            <w:b w:val="0"/>
            <w:bCs w:val="0"/>
            <w:kern w:val="2"/>
            <w:sz w:val="24"/>
            <w:szCs w:val="24"/>
            <w:lang w:val="en-US" w:eastAsia="zh-CN"/>
          </w:rPr>
          <w:tab/>
        </w:r>
      </w:ins>
      <w:ins w:id="137" w:author="易大林" w:date="2025-07-18T16:04:48Z">
        <w:r>
          <w:rPr>
            <w:rFonts w:hint="eastAsia" w:ascii="宋体" w:hAnsi="宋体" w:eastAsia="宋体" w:cs="宋体"/>
            <w:b w:val="0"/>
            <w:bCs w:val="0"/>
            <w:kern w:val="2"/>
            <w:sz w:val="24"/>
            <w:szCs w:val="24"/>
            <w:lang w:val="en-US" w:eastAsia="zh-CN"/>
          </w:rPr>
          <w:t>PG9</w:t>
        </w:r>
      </w:ins>
    </w:p>
    <w:p w14:paraId="280270F2">
      <w:pPr>
        <w:spacing w:line="360" w:lineRule="auto"/>
        <w:ind w:firstLine="480" w:firstLineChars="200"/>
        <w:jc w:val="left"/>
        <w:rPr>
          <w:ins w:id="138" w:author="易大林" w:date="2025-07-18T16:04:48Z"/>
          <w:rFonts w:hint="eastAsia" w:ascii="宋体" w:hAnsi="宋体" w:eastAsia="宋体" w:cs="宋体"/>
          <w:b w:val="0"/>
          <w:bCs w:val="0"/>
          <w:kern w:val="2"/>
          <w:sz w:val="24"/>
          <w:szCs w:val="24"/>
          <w:lang w:val="en-US" w:eastAsia="zh-CN"/>
        </w:rPr>
      </w:pPr>
      <w:ins w:id="139" w:author="易大林" w:date="2025-07-18T16:04:48Z">
        <w:r>
          <w:rPr>
            <w:rFonts w:hint="eastAsia" w:ascii="宋体" w:hAnsi="宋体" w:eastAsia="宋体" w:cs="宋体"/>
            <w:b w:val="0"/>
            <w:bCs w:val="0"/>
            <w:kern w:val="2"/>
            <w:sz w:val="24"/>
            <w:szCs w:val="24"/>
            <w:lang w:val="en-US" w:eastAsia="zh-CN"/>
          </w:rPr>
          <w:t>7、视频监控设备</w:t>
        </w:r>
      </w:ins>
    </w:p>
    <w:p w14:paraId="69A82561">
      <w:pPr>
        <w:spacing w:line="360" w:lineRule="auto"/>
        <w:ind w:firstLine="480" w:firstLineChars="200"/>
        <w:jc w:val="left"/>
        <w:rPr>
          <w:ins w:id="140" w:author="易大林" w:date="2025-07-18T16:04:48Z"/>
          <w:rFonts w:hint="eastAsia" w:ascii="宋体" w:hAnsi="宋体" w:eastAsia="宋体" w:cs="宋体"/>
          <w:b w:val="0"/>
          <w:bCs w:val="0"/>
          <w:kern w:val="2"/>
          <w:sz w:val="24"/>
          <w:szCs w:val="24"/>
          <w:lang w:val="en-US" w:eastAsia="zh-CN"/>
        </w:rPr>
      </w:pPr>
      <w:ins w:id="141" w:author="易大林" w:date="2025-07-18T16:04:48Z">
        <w:r>
          <w:rPr>
            <w:rFonts w:hint="eastAsia" w:ascii="宋体" w:hAnsi="宋体" w:eastAsia="宋体" w:cs="宋体"/>
            <w:b w:val="0"/>
            <w:bCs w:val="0"/>
            <w:kern w:val="2"/>
            <w:sz w:val="24"/>
            <w:szCs w:val="24"/>
            <w:lang w:val="en-US" w:eastAsia="zh-CN"/>
          </w:rPr>
          <w:t>实时监控功能：可实现24小时不间断监控，实时获取监控区域内清晰的监控图像。</w:t>
        </w:r>
      </w:ins>
    </w:p>
    <w:p w14:paraId="5E7369C9">
      <w:pPr>
        <w:spacing w:line="360" w:lineRule="auto"/>
        <w:ind w:firstLine="480" w:firstLineChars="200"/>
        <w:jc w:val="left"/>
        <w:rPr>
          <w:ins w:id="142" w:author="易大林" w:date="2025-07-18T16:04:48Z"/>
          <w:rFonts w:hint="eastAsia" w:ascii="宋体" w:hAnsi="宋体" w:eastAsia="宋体" w:cs="宋体"/>
          <w:b w:val="0"/>
          <w:bCs w:val="0"/>
          <w:kern w:val="2"/>
          <w:sz w:val="24"/>
          <w:szCs w:val="24"/>
          <w:lang w:val="en-US" w:eastAsia="zh-CN"/>
        </w:rPr>
      </w:pPr>
      <w:ins w:id="143" w:author="易大林" w:date="2025-07-18T16:04:48Z">
        <w:r>
          <w:rPr>
            <w:rFonts w:hint="eastAsia" w:ascii="宋体" w:hAnsi="宋体" w:eastAsia="宋体" w:cs="宋体"/>
            <w:b w:val="0"/>
            <w:bCs w:val="0"/>
            <w:kern w:val="2"/>
            <w:sz w:val="24"/>
            <w:szCs w:val="24"/>
            <w:lang w:val="en-US" w:eastAsia="zh-CN"/>
          </w:rPr>
          <w:t>云台操作功能：可实现全方位、多视角、无盲区、全天候式监控。</w:t>
        </w:r>
      </w:ins>
    </w:p>
    <w:p w14:paraId="05DE3B51">
      <w:pPr>
        <w:spacing w:line="360" w:lineRule="auto"/>
        <w:ind w:firstLine="480" w:firstLineChars="200"/>
        <w:jc w:val="left"/>
        <w:rPr>
          <w:rFonts w:hint="default" w:ascii="宋体" w:hAnsi="宋体" w:eastAsia="宋体" w:cs="宋体"/>
          <w:b w:val="0"/>
          <w:bCs w:val="0"/>
          <w:kern w:val="2"/>
          <w:sz w:val="24"/>
          <w:szCs w:val="24"/>
          <w:lang w:val="en-US" w:eastAsia="zh-CN"/>
        </w:rPr>
      </w:pPr>
      <w:ins w:id="144" w:author="易大林" w:date="2025-07-18T16:04:48Z">
        <w:r>
          <w:rPr>
            <w:rFonts w:hint="eastAsia" w:ascii="宋体" w:hAnsi="宋体" w:eastAsia="宋体" w:cs="宋体"/>
            <w:b w:val="0"/>
            <w:bCs w:val="0"/>
            <w:kern w:val="2"/>
            <w:sz w:val="24"/>
            <w:szCs w:val="24"/>
            <w:lang w:val="en-US" w:eastAsia="zh-CN"/>
          </w:rPr>
          <w:t>录像存储功能：支持前端存储和中心存储两种模式，既可通过前端的视音信号接入视频处理单元存储数据，满足前端存储的需要，供事后调查取证；也可通过部署存储服务器和存储设备，满足大容量多通道并发的中心存储需要。</w:t>
        </w:r>
      </w:ins>
    </w:p>
    <w:p w14:paraId="486E00D4">
      <w:pPr>
        <w:keepNext/>
        <w:keepLines/>
        <w:widowControl w:val="0"/>
        <w:bidi w:val="0"/>
        <w:spacing w:before="260" w:beforeLines="0" w:after="260" w:afterLines="0"/>
        <w:jc w:val="both"/>
        <w:outlineLvl w:val="1"/>
        <w:rPr>
          <w:rFonts w:hint="default" w:ascii="Times New Roman" w:hAnsi="Times New Roman" w:eastAsia="宋体" w:cs="Times New Roman"/>
          <w:b/>
          <w:bCs/>
          <w:kern w:val="2"/>
          <w:sz w:val="24"/>
          <w:szCs w:val="32"/>
          <w:lang w:val="en-US" w:eastAsia="zh-CN" w:bidi="ar-SA"/>
        </w:rPr>
      </w:pPr>
      <w:r>
        <w:rPr>
          <w:rFonts w:hint="eastAsia" w:ascii="Times New Roman" w:hAnsi="Times New Roman" w:eastAsia="宋体" w:cs="Times New Roman"/>
          <w:b/>
          <w:bCs/>
          <w:kern w:val="2"/>
          <w:sz w:val="24"/>
          <w:szCs w:val="32"/>
          <w:lang w:val="en-US" w:eastAsia="zh-CN" w:bidi="ar-SA"/>
        </w:rPr>
        <w:t>（八）售后技术服务方案</w:t>
      </w:r>
    </w:p>
    <w:p w14:paraId="59C789B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Times New Roman" w:hAnsi="Times New Roman" w:cs="仿宋"/>
          <w:color w:val="auto"/>
          <w:sz w:val="24"/>
          <w:highlight w:val="none"/>
        </w:rPr>
        <w:t>★</w:t>
      </w:r>
      <w:r>
        <w:rPr>
          <w:rFonts w:hint="eastAsia" w:ascii="宋体" w:hAnsi="宋体" w:eastAsia="宋体" w:cs="宋体"/>
          <w:b w:val="0"/>
          <w:bCs w:val="0"/>
          <w:kern w:val="2"/>
          <w:sz w:val="24"/>
          <w:szCs w:val="24"/>
          <w:lang w:val="en-US" w:eastAsia="zh-CN"/>
        </w:rPr>
        <w:t>1、</w:t>
      </w:r>
      <w:r>
        <w:rPr>
          <w:rFonts w:hint="default" w:ascii="宋体" w:hAnsi="宋体" w:eastAsia="宋体" w:cs="宋体"/>
          <w:b w:val="0"/>
          <w:bCs w:val="0"/>
          <w:kern w:val="2"/>
          <w:sz w:val="24"/>
          <w:szCs w:val="24"/>
          <w:lang w:val="en-US" w:eastAsia="zh-CN"/>
        </w:rPr>
        <w:t>为本项目配置数量充足的专业运维人员及运维车辆，运维人员不少于</w:t>
      </w:r>
      <w:r>
        <w:rPr>
          <w:rFonts w:hint="eastAsia" w:ascii="宋体" w:hAnsi="宋体" w:eastAsia="宋体" w:cs="宋体"/>
          <w:b w:val="0"/>
          <w:bCs w:val="0"/>
          <w:kern w:val="2"/>
          <w:sz w:val="24"/>
          <w:szCs w:val="24"/>
          <w:lang w:val="en-US" w:eastAsia="zh-CN"/>
        </w:rPr>
        <w:t>2</w:t>
      </w:r>
      <w:r>
        <w:rPr>
          <w:rFonts w:hint="default" w:ascii="宋体" w:hAnsi="宋体" w:eastAsia="宋体" w:cs="宋体"/>
          <w:b w:val="0"/>
          <w:bCs w:val="0"/>
          <w:kern w:val="2"/>
          <w:sz w:val="24"/>
          <w:szCs w:val="24"/>
          <w:lang w:val="en-US" w:eastAsia="zh-CN"/>
        </w:rPr>
        <w:t>名，持有中国环境监测总站颁发的运维上岗证，且具有1年以上的运维经验，运维车辆不得少于2辆，全日制从事水质自动监测系统的日常运行和维护，法定节假日期间也保证系统的正常运行</w:t>
      </w:r>
      <w:r>
        <w:rPr>
          <w:rFonts w:hint="eastAsia" w:ascii="宋体" w:hAnsi="宋体" w:cs="宋体"/>
          <w:b w:val="0"/>
          <w:bCs w:val="0"/>
          <w:kern w:val="2"/>
          <w:sz w:val="24"/>
          <w:szCs w:val="24"/>
          <w:lang w:val="en-US" w:eastAsia="zh-CN"/>
        </w:rPr>
        <w:t>（</w:t>
      </w:r>
      <w:r>
        <w:rPr>
          <w:rFonts w:hint="eastAsia" w:ascii="Times New Roman" w:hAnsi="Times New Roman" w:eastAsia="宋体" w:cs="Times New Roman"/>
          <w:b/>
          <w:bCs/>
          <w:kern w:val="2"/>
          <w:sz w:val="24"/>
          <w:szCs w:val="32"/>
          <w:lang w:val="en-US" w:eastAsia="zh-CN" w:bidi="ar-SA"/>
        </w:rPr>
        <w:t>提供承诺书，格式自拟</w:t>
      </w:r>
      <w:r>
        <w:rPr>
          <w:rFonts w:hint="eastAsia" w:ascii="宋体" w:hAnsi="宋体" w:cs="宋体"/>
          <w:b w:val="0"/>
          <w:bCs w:val="0"/>
          <w:kern w:val="2"/>
          <w:sz w:val="24"/>
          <w:szCs w:val="24"/>
          <w:lang w:val="en-US" w:eastAsia="zh-CN"/>
        </w:rPr>
        <w:t>）</w:t>
      </w:r>
      <w:r>
        <w:rPr>
          <w:rFonts w:hint="default" w:ascii="宋体" w:hAnsi="宋体" w:eastAsia="宋体" w:cs="宋体"/>
          <w:b w:val="0"/>
          <w:bCs w:val="0"/>
          <w:kern w:val="2"/>
          <w:sz w:val="24"/>
          <w:szCs w:val="24"/>
          <w:lang w:val="en-US" w:eastAsia="zh-CN"/>
        </w:rPr>
        <w:t>。技术人员配备专用工具，包括便携式电脑、万用表、远程数据查询系统等；还配备通讯调试工具，包括各种硬件接口线、改线工具、接口调试软件及常用零部件等。</w:t>
      </w:r>
    </w:p>
    <w:p w14:paraId="533E810E">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2、</w:t>
      </w:r>
      <w:r>
        <w:rPr>
          <w:rFonts w:hint="default" w:ascii="宋体" w:hAnsi="宋体" w:eastAsia="宋体" w:cs="宋体"/>
          <w:b w:val="0"/>
          <w:bCs w:val="0"/>
          <w:kern w:val="2"/>
          <w:sz w:val="24"/>
          <w:szCs w:val="24"/>
          <w:lang w:val="en-US" w:eastAsia="zh-CN"/>
        </w:rPr>
        <w:t>在运维及管理期间，在合同约束范围内运维单位拥有管理自主权；不会以任何形式外包合同规定的运行维护任务。</w:t>
      </w:r>
    </w:p>
    <w:p w14:paraId="2E0D4A3A">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3、</w:t>
      </w:r>
      <w:r>
        <w:rPr>
          <w:rFonts w:hint="default" w:ascii="宋体" w:hAnsi="宋体" w:eastAsia="宋体" w:cs="宋体"/>
          <w:b w:val="0"/>
          <w:bCs w:val="0"/>
          <w:kern w:val="2"/>
          <w:sz w:val="24"/>
          <w:szCs w:val="24"/>
          <w:lang w:val="en-US" w:eastAsia="zh-CN"/>
        </w:rPr>
        <w:t>在运维及管理期间，严格按照业主制订的操作规范和规章制度，对所管理的系统及仪器设备进行规范操作和精心维护及必要维修，保证系统及仪器设备的正常运行，达到业主提出的系统及仪器设备考核指标要求。接受业主代表（采购人和托管站）的定期或不定期检查和考核。</w:t>
      </w:r>
    </w:p>
    <w:p w14:paraId="04004C51">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4、</w:t>
      </w:r>
      <w:r>
        <w:rPr>
          <w:rFonts w:hint="default" w:ascii="宋体" w:hAnsi="宋体" w:eastAsia="宋体" w:cs="宋体"/>
          <w:b w:val="0"/>
          <w:bCs w:val="0"/>
          <w:kern w:val="2"/>
          <w:sz w:val="24"/>
          <w:szCs w:val="24"/>
          <w:lang w:val="en-US" w:eastAsia="zh-CN"/>
        </w:rPr>
        <w:t>不论何时，运维单位都应承担监测数据的保密责任；按照业主的要求，进行报告和传输有关的监测数据，均不得以任何方式和渠道向外界传递任何监测数据。</w:t>
      </w:r>
    </w:p>
    <w:p w14:paraId="4EB9C26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5</w:t>
      </w:r>
      <w:r>
        <w:rPr>
          <w:rFonts w:hint="default" w:ascii="宋体" w:hAnsi="宋体" w:eastAsia="宋体" w:cs="宋体"/>
          <w:b w:val="0"/>
          <w:bCs w:val="0"/>
          <w:kern w:val="2"/>
          <w:sz w:val="24"/>
          <w:szCs w:val="24"/>
          <w:lang w:val="en-US" w:eastAsia="zh-CN"/>
        </w:rPr>
        <w:t>、不论何时，运维单位无权将业主的任何资产进行对外投资、合作、经济担保及资产抵押。</w:t>
      </w:r>
    </w:p>
    <w:p w14:paraId="21C7884F">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6</w:t>
      </w:r>
      <w:r>
        <w:rPr>
          <w:rFonts w:hint="default" w:ascii="宋体" w:hAnsi="宋体" w:eastAsia="宋体" w:cs="宋体"/>
          <w:b w:val="0"/>
          <w:bCs w:val="0"/>
          <w:kern w:val="2"/>
          <w:sz w:val="24"/>
          <w:szCs w:val="24"/>
          <w:lang w:val="en-US" w:eastAsia="zh-CN"/>
        </w:rPr>
        <w:t>、提供完整的运维人员管理方案，提出解决稳定人员队伍的措施。</w:t>
      </w:r>
    </w:p>
    <w:p w14:paraId="1BF93DD3">
      <w:pPr>
        <w:spacing w:line="360" w:lineRule="auto"/>
        <w:ind w:firstLine="480" w:firstLineChars="200"/>
        <w:jc w:val="left"/>
        <w:rPr>
          <w:rFonts w:hint="default" w:ascii="宋体" w:hAnsi="宋体" w:eastAsia="宋体" w:cs="宋体"/>
          <w:b w:val="0"/>
          <w:bCs w:val="0"/>
          <w:kern w:val="2"/>
          <w:sz w:val="24"/>
          <w:szCs w:val="24"/>
          <w:lang w:val="en-US" w:eastAsia="zh-CN"/>
        </w:rPr>
      </w:pPr>
      <w:r>
        <w:rPr>
          <w:rFonts w:hint="eastAsia" w:ascii="宋体" w:hAnsi="宋体" w:eastAsia="宋体" w:cs="宋体"/>
          <w:b w:val="0"/>
          <w:bCs w:val="0"/>
          <w:kern w:val="2"/>
          <w:sz w:val="24"/>
          <w:szCs w:val="24"/>
          <w:lang w:val="en-US" w:eastAsia="zh-CN"/>
        </w:rPr>
        <w:t>7</w:t>
      </w:r>
      <w:r>
        <w:rPr>
          <w:rFonts w:hint="default" w:ascii="宋体" w:hAnsi="宋体" w:eastAsia="宋体" w:cs="宋体"/>
          <w:b w:val="0"/>
          <w:bCs w:val="0"/>
          <w:kern w:val="2"/>
          <w:sz w:val="24"/>
          <w:szCs w:val="24"/>
          <w:lang w:val="en-US" w:eastAsia="zh-CN"/>
        </w:rPr>
        <w:t>、本项目需配置1套与所投产品规格型号相同的备机，当仪器出现故障、停运时，并于短时间内无法排除故障，确保能在48小时内更换备机。</w:t>
      </w:r>
    </w:p>
    <w:p w14:paraId="553B2FC3">
      <w:pPr>
        <w:widowControl/>
        <w:kinsoku w:val="0"/>
        <w:autoSpaceDE w:val="0"/>
        <w:autoSpaceDN w:val="0"/>
        <w:adjustRightInd w:val="0"/>
        <w:snapToGrid w:val="0"/>
        <w:spacing w:before="141" w:line="240" w:lineRule="auto"/>
        <w:jc w:val="left"/>
        <w:textAlignment w:val="baseline"/>
        <w:rPr>
          <w:rFonts w:ascii="Arial" w:hAnsi="Arial" w:eastAsia="Arial" w:cs="Arial"/>
          <w:snapToGrid w:val="0"/>
          <w:color w:val="000000"/>
          <w:kern w:val="0"/>
          <w:szCs w:val="21"/>
          <w:lang w:eastAsia="en-US"/>
        </w:rPr>
      </w:pPr>
    </w:p>
    <w:p w14:paraId="2B195973">
      <w:pPr>
        <w:pStyle w:val="457"/>
        <w:widowControl w:val="0"/>
        <w:spacing w:before="0" w:beforeAutospacing="0" w:after="0" w:afterAutospacing="0" w:line="500" w:lineRule="exact"/>
        <w:ind w:firstLine="480" w:firstLineChars="200"/>
        <w:jc w:val="both"/>
        <w:rPr>
          <w:rFonts w:ascii="Times New Roman" w:hAnsi="Times New Roman" w:eastAsia="等线" w:cs="仿宋"/>
          <w:color w:val="auto"/>
          <w:highlight w:val="none"/>
        </w:rPr>
      </w:pPr>
    </w:p>
    <w:p w14:paraId="54356F72">
      <w:pPr>
        <w:pStyle w:val="457"/>
        <w:widowControl w:val="0"/>
        <w:spacing w:before="0" w:beforeAutospacing="0" w:after="0" w:afterAutospacing="0" w:line="500" w:lineRule="exact"/>
        <w:ind w:firstLine="480" w:firstLineChars="200"/>
        <w:jc w:val="both"/>
        <w:rPr>
          <w:rFonts w:ascii="Times New Roman" w:hAnsi="Times New Roman" w:eastAsia="等线" w:cs="仿宋"/>
          <w:color w:val="auto"/>
          <w:highlight w:val="none"/>
        </w:rPr>
      </w:pPr>
    </w:p>
    <w:p w14:paraId="127D48C4">
      <w:pPr>
        <w:pStyle w:val="457"/>
        <w:widowControl w:val="0"/>
        <w:spacing w:before="0" w:beforeAutospacing="0" w:after="0" w:afterAutospacing="0" w:line="500" w:lineRule="exact"/>
        <w:ind w:firstLine="480" w:firstLineChars="200"/>
        <w:jc w:val="both"/>
        <w:rPr>
          <w:rFonts w:ascii="Times New Roman" w:hAnsi="Times New Roman" w:eastAsia="等线" w:cs="仿宋"/>
          <w:color w:val="auto"/>
          <w:highlight w:val="none"/>
        </w:rPr>
      </w:pPr>
    </w:p>
    <w:p w14:paraId="4CDA91D5">
      <w:pPr>
        <w:rPr>
          <w:rFonts w:hint="eastAsia"/>
          <w:color w:val="auto"/>
          <w:highlight w:val="none"/>
        </w:rPr>
      </w:pPr>
      <w:bookmarkStart w:id="126" w:name="_Toc81575169"/>
      <w:bookmarkStart w:id="127" w:name="_Toc22098"/>
      <w:bookmarkStart w:id="128" w:name="_Toc81575206"/>
      <w:bookmarkStart w:id="129" w:name="_Toc2513"/>
      <w:bookmarkStart w:id="130" w:name="_Toc31499"/>
    </w:p>
    <w:p w14:paraId="176AA305">
      <w:pPr>
        <w:pStyle w:val="2"/>
        <w:spacing w:before="200"/>
        <w:jc w:val="center"/>
        <w:rPr>
          <w:rFonts w:hint="eastAsia" w:ascii="宋体" w:hAnsi="宋体"/>
          <w:bCs/>
          <w:color w:val="auto"/>
          <w:sz w:val="24"/>
          <w:szCs w:val="24"/>
          <w:highlight w:val="none"/>
        </w:rPr>
      </w:pPr>
      <w:r>
        <w:rPr>
          <w:rFonts w:hint="eastAsia" w:ascii="Calibri" w:hAnsi="Calibri" w:eastAsia="宋体" w:cs="Times New Roman"/>
          <w:b/>
          <w:color w:val="auto"/>
          <w:sz w:val="44"/>
          <w:szCs w:val="44"/>
          <w:highlight w:val="none"/>
        </w:rPr>
        <w:br w:type="page"/>
      </w:r>
      <w:r>
        <w:rPr>
          <w:rFonts w:hint="eastAsia" w:ascii="Calibri" w:hAnsi="Calibri" w:eastAsia="宋体" w:cs="Times New Roman"/>
          <w:b/>
          <w:color w:val="auto"/>
          <w:sz w:val="44"/>
          <w:szCs w:val="44"/>
          <w:highlight w:val="none"/>
        </w:rPr>
        <w:t>第五章</w:t>
      </w:r>
      <w:r>
        <w:rPr>
          <w:rFonts w:ascii="Calibri" w:hAnsi="Calibri" w:eastAsia="宋体" w:cs="Times New Roman"/>
          <w:b/>
          <w:color w:val="auto"/>
          <w:sz w:val="44"/>
          <w:szCs w:val="44"/>
          <w:highlight w:val="none"/>
        </w:rPr>
        <w:t xml:space="preserve">  </w:t>
      </w:r>
      <w:r>
        <w:rPr>
          <w:rFonts w:hint="eastAsia" w:ascii="Calibri" w:hAnsi="Calibri" w:eastAsia="宋体" w:cs="Times New Roman"/>
          <w:b/>
          <w:color w:val="auto"/>
          <w:sz w:val="44"/>
          <w:szCs w:val="44"/>
          <w:highlight w:val="none"/>
        </w:rPr>
        <w:t>合同文本</w:t>
      </w:r>
      <w:bookmarkEnd w:id="126"/>
      <w:bookmarkEnd w:id="127"/>
      <w:bookmarkEnd w:id="128"/>
      <w:bookmarkEnd w:id="129"/>
      <w:bookmarkEnd w:id="130"/>
      <w:bookmarkStart w:id="131" w:name="_Toc513029243"/>
      <w:bookmarkStart w:id="132" w:name="_Toc20823315"/>
      <w:bookmarkStart w:id="133" w:name="_Toc16938559"/>
    </w:p>
    <w:p w14:paraId="78B5D2F4">
      <w:pPr>
        <w:pStyle w:val="23"/>
        <w:jc w:val="center"/>
        <w:rPr>
          <w:rFonts w:ascii="宋体" w:hAnsi="宋体" w:eastAsia="宋体" w:cs="宋体"/>
          <w:b/>
          <w:bCs/>
          <w:color w:val="auto"/>
          <w:spacing w:val="-20"/>
          <w:kern w:val="44"/>
          <w:highlight w:val="none"/>
          <w:lang w:eastAsia="zh-CN"/>
        </w:rPr>
      </w:pPr>
    </w:p>
    <w:p w14:paraId="1E2C04E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pPr>
      <w:bookmarkStart w:id="134" w:name="_Toc16938590"/>
      <w:bookmarkStart w:id="135" w:name="_Toc120614244"/>
      <w:bookmarkStart w:id="136" w:name="_Toc462564139"/>
      <w:bookmarkStart w:id="137" w:name="_Toc20823346"/>
      <w:bookmarkStart w:id="138" w:name="_Hlt16619350"/>
      <w:bookmarkStart w:id="139" w:name="_Toc479757211"/>
      <w:r>
        <w:rPr>
          <w:rFonts w:ascii="仿宋" w:hAnsi="仿宋" w:eastAsia="仿宋" w:cs="仿宋"/>
          <w:color w:val="000000"/>
          <w:sz w:val="24"/>
          <w:szCs w:val="24"/>
        </w:rPr>
        <w:t xml:space="preserve">采购单位（全称）： </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（简称甲方）</w:t>
      </w:r>
      <w:bookmarkEnd w:id="134"/>
      <w:bookmarkEnd w:id="135"/>
      <w:bookmarkEnd w:id="136"/>
      <w:bookmarkEnd w:id="137"/>
      <w:bookmarkEnd w:id="138"/>
      <w:bookmarkEnd w:id="139"/>
    </w:p>
    <w:p w14:paraId="7E99E85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pPr>
      <w:r>
        <w:rPr>
          <w:rFonts w:hint="eastAsia" w:ascii="仿宋" w:hAnsi="仿宋" w:eastAsia="仿宋" w:cs="仿宋"/>
          <w:color w:val="000000"/>
          <w:sz w:val="24"/>
          <w:szCs w:val="24"/>
        </w:rPr>
        <w:t>中标供应商（全称）：</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（简称乙方）</w:t>
      </w:r>
    </w:p>
    <w:p w14:paraId="5D8A0AE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依照《中华人民共和国政府采购法</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中华人民共和国民法典》及其他有关法律、行政法规，遵循平等、自愿、公平和诚实信用的原则，双方就</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相关事项协商一致，达成如下合同条款：</w:t>
      </w:r>
    </w:p>
    <w:p w14:paraId="346F395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pPr>
      <w:r>
        <w:rPr>
          <w:rFonts w:hint="eastAsia" w:ascii="仿宋" w:hAnsi="仿宋" w:eastAsia="仿宋" w:cs="仿宋"/>
          <w:color w:val="000000"/>
          <w:sz w:val="24"/>
          <w:szCs w:val="24"/>
        </w:rPr>
        <w:t>一、乙方向甲方提供总价值为：</w:t>
      </w:r>
      <w:r>
        <w:rPr>
          <w:rFonts w:hint="eastAsia" w:ascii="宋体" w:hAnsi="宋体" w:eastAsia="宋体" w:cs="宋体"/>
          <w:color w:val="000000"/>
          <w:sz w:val="24"/>
          <w:szCs w:val="24"/>
        </w:rPr>
        <w:t>   万元整（￥：       ）</w:t>
      </w:r>
    </w:p>
    <w:tbl>
      <w:tblPr>
        <w:tblStyle w:val="53"/>
        <w:tblW w:w="0" w:type="auto"/>
        <w:tblCellSpacing w:w="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1"/>
        <w:gridCol w:w="1091"/>
        <w:gridCol w:w="3674"/>
        <w:gridCol w:w="695"/>
        <w:gridCol w:w="699"/>
        <w:gridCol w:w="935"/>
        <w:gridCol w:w="1225"/>
      </w:tblGrid>
      <w:tr w14:paraId="21B5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blCellSpacing w:w="0" w:type="dxa"/>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56A3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BF4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货物名称</w:t>
            </w:r>
          </w:p>
        </w:tc>
        <w:tc>
          <w:tcPr>
            <w:tcW w:w="3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D039">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品牌.型号</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BD12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单位</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1FA24">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数量</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201D">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单价(元)</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2206">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总价(元)</w:t>
            </w:r>
          </w:p>
        </w:tc>
      </w:tr>
      <w:tr w14:paraId="280A1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blCellSpacing w:w="0" w:type="dxa"/>
        </w:trPr>
        <w:tc>
          <w:tcPr>
            <w:tcW w:w="90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3BB00AE">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b/>
                <w:bCs/>
                <w:color w:val="000000"/>
                <w:sz w:val="22"/>
                <w:szCs w:val="22"/>
              </w:rPr>
              <w:t>一、</w:t>
            </w:r>
          </w:p>
        </w:tc>
      </w:tr>
      <w:tr w14:paraId="48B1F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 w:hRule="atLeast"/>
          <w:tblCellSpacing w:w="0" w:type="dxa"/>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CE0E1">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5CC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3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36C4">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8C95">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套</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8707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9474">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428F">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r>
      <w:tr w14:paraId="2DF45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2" w:hRule="atLeast"/>
          <w:tblCellSpacing w:w="0" w:type="dxa"/>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657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序号</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69168">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服务名称</w:t>
            </w:r>
          </w:p>
        </w:tc>
        <w:tc>
          <w:tcPr>
            <w:tcW w:w="3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84D5">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服务内容</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93C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单位</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E9F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数量</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5730">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单价(元)</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FC97">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总价(元)</w:t>
            </w:r>
          </w:p>
        </w:tc>
      </w:tr>
      <w:tr w14:paraId="7F0E9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2" w:hRule="atLeast"/>
          <w:tblCellSpacing w:w="0" w:type="dxa"/>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68BE7">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1</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D366">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3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640C">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t> </w:t>
            </w:r>
          </w:p>
        </w:tc>
        <w:tc>
          <w:tcPr>
            <w:tcW w:w="6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529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套</w:t>
            </w:r>
          </w:p>
        </w:tc>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CB76">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C8EB1">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t> </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B56E6">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color w:val="000000"/>
                <w:sz w:val="20"/>
                <w:szCs w:val="20"/>
              </w:rPr>
              <w:t> </w:t>
            </w:r>
          </w:p>
        </w:tc>
      </w:tr>
      <w:tr w14:paraId="061FC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blCellSpacing w:w="0" w:type="dxa"/>
        </w:trPr>
        <w:tc>
          <w:tcPr>
            <w:tcW w:w="779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CB614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合计</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FA5C">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0"/>
                <w:szCs w:val="20"/>
              </w:rPr>
              <w:t> </w:t>
            </w:r>
          </w:p>
        </w:tc>
      </w:tr>
      <w:tr w14:paraId="78753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blCellSpacing w:w="0" w:type="dxa"/>
        </w:trPr>
        <w:tc>
          <w:tcPr>
            <w:tcW w:w="1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A18585">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jc w:val="center"/>
            </w:pPr>
            <w:r>
              <w:rPr>
                <w:rFonts w:hint="eastAsia" w:ascii="宋体" w:hAnsi="宋体" w:eastAsia="宋体" w:cs="宋体"/>
                <w:b/>
                <w:bCs/>
                <w:color w:val="000000"/>
                <w:sz w:val="22"/>
                <w:szCs w:val="22"/>
              </w:rPr>
              <w:t>报价总计</w:t>
            </w:r>
          </w:p>
        </w:tc>
        <w:tc>
          <w:tcPr>
            <w:tcW w:w="722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A5C4D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b/>
                <w:bCs/>
                <w:color w:val="000000"/>
                <w:sz w:val="22"/>
                <w:szCs w:val="22"/>
              </w:rPr>
              <w:t xml:space="preserve">      ￥  </w:t>
            </w:r>
          </w:p>
          <w:p w14:paraId="7612BD8A">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pPr>
            <w:r>
              <w:rPr>
                <w:rFonts w:hint="eastAsia" w:ascii="宋体" w:hAnsi="宋体" w:eastAsia="宋体" w:cs="宋体"/>
                <w:b/>
                <w:bCs/>
                <w:color w:val="000000"/>
                <w:sz w:val="22"/>
                <w:szCs w:val="22"/>
              </w:rPr>
              <w:t>      人民币（大写）：</w:t>
            </w:r>
            <w:r>
              <w:rPr>
                <w:rFonts w:hint="eastAsia" w:ascii="宋体" w:hAnsi="宋体" w:eastAsia="宋体" w:cs="宋体"/>
                <w:b/>
                <w:bCs/>
                <w:color w:val="000000"/>
                <w:sz w:val="22"/>
                <w:szCs w:val="22"/>
                <w:u w:val="single"/>
              </w:rPr>
              <w:t xml:space="preserve">   </w:t>
            </w:r>
            <w:r>
              <w:rPr>
                <w:rFonts w:hint="eastAsia" w:ascii="宋体" w:hAnsi="宋体" w:eastAsia="宋体" w:cs="宋体"/>
                <w:b/>
                <w:bCs/>
                <w:color w:val="000000"/>
                <w:sz w:val="22"/>
                <w:szCs w:val="22"/>
              </w:rPr>
              <w:t>仟</w:t>
            </w:r>
            <w:r>
              <w:rPr>
                <w:rFonts w:hint="eastAsia" w:ascii="宋体" w:hAnsi="宋体" w:eastAsia="宋体" w:cs="宋体"/>
                <w:b/>
                <w:bCs/>
                <w:color w:val="000000"/>
                <w:sz w:val="22"/>
                <w:szCs w:val="22"/>
                <w:u w:val="single"/>
              </w:rPr>
              <w:t xml:space="preserve">   </w:t>
            </w:r>
            <w:r>
              <w:rPr>
                <w:rFonts w:hint="eastAsia" w:ascii="宋体" w:hAnsi="宋体" w:eastAsia="宋体" w:cs="宋体"/>
                <w:b/>
                <w:bCs/>
                <w:color w:val="000000"/>
                <w:sz w:val="22"/>
                <w:szCs w:val="22"/>
              </w:rPr>
              <w:t>佰</w:t>
            </w:r>
            <w:r>
              <w:rPr>
                <w:rFonts w:hint="eastAsia" w:ascii="宋体" w:hAnsi="宋体" w:eastAsia="宋体" w:cs="宋体"/>
                <w:b/>
                <w:bCs/>
                <w:color w:val="000000"/>
                <w:sz w:val="22"/>
                <w:szCs w:val="22"/>
                <w:u w:val="single"/>
              </w:rPr>
              <w:t xml:space="preserve">     </w:t>
            </w:r>
            <w:r>
              <w:rPr>
                <w:rFonts w:hint="eastAsia" w:ascii="宋体" w:hAnsi="宋体" w:eastAsia="宋体" w:cs="宋体"/>
                <w:b/>
                <w:bCs/>
                <w:color w:val="000000"/>
                <w:sz w:val="22"/>
                <w:szCs w:val="22"/>
              </w:rPr>
              <w:t>万元整</w:t>
            </w:r>
          </w:p>
        </w:tc>
      </w:tr>
    </w:tbl>
    <w:p w14:paraId="63B2DB7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t> </w:t>
      </w:r>
    </w:p>
    <w:p w14:paraId="5FF038E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（一）本项目对任何有选择的报价将不予接受，只允许有一个报价。报价内容包括：货物本身价格、运输、装卸、人工、安装、集成、产品损耗、售后服务、检测费、培训、税金、维保及货物交付使用过程中</w:t>
      </w:r>
      <w:r>
        <w:rPr>
          <w:rFonts w:hint="eastAsia" w:ascii="仿宋" w:hAnsi="仿宋" w:eastAsia="仿宋" w:cs="仿宋"/>
          <w:color w:val="000000"/>
          <w:sz w:val="24"/>
          <w:szCs w:val="24"/>
          <w:lang w:eastAsia="zh-CN"/>
        </w:rPr>
        <w:t>涉及</w:t>
      </w:r>
      <w:r>
        <w:rPr>
          <w:rFonts w:hint="eastAsia" w:ascii="仿宋" w:hAnsi="仿宋" w:eastAsia="仿宋" w:cs="仿宋"/>
          <w:color w:val="000000"/>
          <w:sz w:val="24"/>
          <w:szCs w:val="24"/>
        </w:rPr>
        <w:t>的其他费用，结算时不作调整。</w:t>
      </w:r>
    </w:p>
    <w:p w14:paraId="55E785D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（二）报价注意事项：</w:t>
      </w:r>
    </w:p>
    <w:p w14:paraId="000A15C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价格一律以人民币计算，以元为单位标准；</w:t>
      </w:r>
    </w:p>
    <w:p w14:paraId="5D6F68AC">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（三）项目采购、运输、安装至该项目完成期间，涉及相关人员安全问题，由中标人承担。</w:t>
      </w:r>
    </w:p>
    <w:p w14:paraId="49BC222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二、交货时间、地点、质保期</w:t>
      </w:r>
    </w:p>
    <w:p w14:paraId="288DDB5F">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（一）工期：签订合同后120日历天内安装调试完毕。</w:t>
      </w:r>
    </w:p>
    <w:p w14:paraId="1B956F8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（二）交货地点：采购人指定地点。</w:t>
      </w:r>
    </w:p>
    <w:p w14:paraId="6C8A30D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（三）质保期：三年 </w:t>
      </w:r>
    </w:p>
    <w:p w14:paraId="7425C9D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三、质量技术标准：合格。</w:t>
      </w:r>
    </w:p>
    <w:p w14:paraId="52AF676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四、运输方式及费用</w:t>
      </w:r>
    </w:p>
    <w:p w14:paraId="64FBE48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由乙方视情况自定运输方式，费用自负。</w:t>
      </w:r>
    </w:p>
    <w:p w14:paraId="5DD354A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五、验收</w:t>
      </w:r>
    </w:p>
    <w:p w14:paraId="4CA0F2A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（一）在货物进场交付使用后7个工作日内，甲方根据技术要求组织验收，验收内容包括：型号、规格、数量、外观质量</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货物包装是否完好是否合格，所提供货物的装箱清单、用户手册、原厂保修卡、随机资料、随机工具等是否齐全。验收合格并不免除乙方对标的物由于设计、工艺或材料的缺陷/瑕疵而发生的任何不足或故障负责，并承担由此引起的一切后果，使用期内甲方行使本条权利不受时间限制。</w:t>
      </w:r>
    </w:p>
    <w:p w14:paraId="12925A0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（二)甲方应按签订采购合同约定时间组织验收，并出具验收是否合格报告。验收主体由采购单位组织本单位纪检及相关人员验收，也可邀请相关专业人员参与验收，因此产生的费用由乙方支付。</w:t>
      </w:r>
    </w:p>
    <w:p w14:paraId="7E54901C">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三）甲方在验收中，如发现有与合同规定不符的，应在3天内向乙方提出书面意见，不签发验收单，并同时将该书面意见提交至政府采购科。乙方在接到甲方书面意见后，应在3天内予以处理，并将处理结果以书面形式告知政府采购科。项目完成整体验收合格前的相关验收记录（中间验收）并不免除乙方对标的物的质量保证责任，相关设备及安装、调试等是否合格，以最终验收为准。</w:t>
      </w:r>
    </w:p>
    <w:p w14:paraId="5C5131A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pPr>
      <w:r>
        <w:rPr>
          <w:rFonts w:hint="eastAsia" w:ascii="仿宋" w:hAnsi="仿宋" w:eastAsia="仿宋" w:cs="仿宋"/>
          <w:color w:val="000000"/>
          <w:sz w:val="24"/>
          <w:szCs w:val="24"/>
        </w:rPr>
        <w:t>六、付款方式：</w:t>
      </w:r>
    </w:p>
    <w:p w14:paraId="1EA32F9B">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预付款：合同金额的10%，合同签订后按规定支付；</w:t>
      </w:r>
    </w:p>
    <w:p w14:paraId="07924E9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rPr>
          <w:rFonts w:hint="default" w:ascii="仿宋" w:hAnsi="仿宋" w:eastAsia="仿宋" w:cs="仿宋"/>
          <w:color w:val="000000"/>
          <w:sz w:val="24"/>
          <w:szCs w:val="24"/>
          <w:lang w:val="en-US" w:eastAsia="en-US"/>
        </w:rPr>
      </w:pPr>
      <w:r>
        <w:rPr>
          <w:rFonts w:hint="eastAsia" w:ascii="仿宋" w:hAnsi="仿宋" w:eastAsia="仿宋" w:cs="仿宋"/>
          <w:color w:val="000000"/>
          <w:sz w:val="24"/>
          <w:szCs w:val="24"/>
          <w:lang w:val="en-US" w:eastAsia="zh-CN"/>
        </w:rPr>
        <w:t>进度款：项目完工经初验合格后付至合同价款的60%，初验合格满一年付至合同价款的95%，初验合格起第三年付清余款；</w:t>
      </w:r>
    </w:p>
    <w:p w14:paraId="5A0CD43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rPr>
          <w:rFonts w:hint="eastAsia" w:ascii="仿宋" w:hAnsi="仿宋" w:eastAsia="仿宋" w:cs="仿宋"/>
          <w:color w:val="000000"/>
          <w:sz w:val="24"/>
          <w:szCs w:val="24"/>
          <w:lang w:val="zh-CN" w:eastAsia="zh-CN"/>
        </w:rPr>
      </w:pPr>
      <w:r>
        <w:rPr>
          <w:rFonts w:hint="eastAsia" w:ascii="仿宋" w:hAnsi="仿宋" w:eastAsia="仿宋" w:cs="仿宋"/>
          <w:color w:val="000000"/>
          <w:sz w:val="24"/>
          <w:szCs w:val="24"/>
          <w:lang w:val="zh-CN" w:eastAsia="zh-CN"/>
        </w:rPr>
        <w:t>资金支付的</w:t>
      </w:r>
      <w:r>
        <w:rPr>
          <w:rFonts w:hint="eastAsia" w:ascii="仿宋" w:hAnsi="仿宋" w:eastAsia="仿宋" w:cs="仿宋"/>
          <w:color w:val="000000"/>
          <w:sz w:val="24"/>
          <w:szCs w:val="24"/>
          <w:lang w:eastAsia="zh-CN"/>
        </w:rPr>
        <w:t>时间</w:t>
      </w:r>
      <w:r>
        <w:rPr>
          <w:rFonts w:hint="eastAsia" w:ascii="仿宋" w:hAnsi="仿宋" w:eastAsia="仿宋" w:cs="仿宋"/>
          <w:color w:val="000000"/>
          <w:sz w:val="24"/>
          <w:szCs w:val="24"/>
          <w:lang w:val="zh-CN" w:eastAsia="zh-CN"/>
        </w:rPr>
        <w:t>：</w:t>
      </w:r>
      <w:r>
        <w:rPr>
          <w:rFonts w:hint="eastAsia" w:ascii="仿宋" w:hAnsi="仿宋" w:eastAsia="仿宋" w:cs="仿宋"/>
          <w:color w:val="000000"/>
          <w:sz w:val="24"/>
          <w:szCs w:val="24"/>
          <w:lang w:eastAsia="zh-CN"/>
        </w:rPr>
        <w:t>收到供应商发票10个工作日内</w:t>
      </w:r>
      <w:r>
        <w:rPr>
          <w:rFonts w:hint="eastAsia" w:ascii="仿宋" w:hAnsi="仿宋" w:eastAsia="仿宋" w:cs="仿宋"/>
          <w:color w:val="000000"/>
          <w:sz w:val="24"/>
          <w:szCs w:val="24"/>
          <w:lang w:val="zh-CN" w:eastAsia="zh-CN"/>
        </w:rPr>
        <w:t>。</w:t>
      </w:r>
    </w:p>
    <w:p w14:paraId="1B01C0B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资金支付方式：</w:t>
      </w:r>
      <w:r>
        <w:rPr>
          <w:rFonts w:hint="eastAsia" w:ascii="仿宋" w:hAnsi="仿宋" w:eastAsia="仿宋" w:cs="仿宋"/>
          <w:color w:val="000000"/>
          <w:sz w:val="24"/>
          <w:szCs w:val="24"/>
          <w:lang w:eastAsia="zh-CN"/>
        </w:rPr>
        <w:t>合同约定的供应商账户或供应商数字人民币账户。</w:t>
      </w:r>
    </w:p>
    <w:p w14:paraId="6AFF219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jc w:val="both"/>
        <w:rPr>
          <w:rFonts w:hint="eastAsia" w:ascii="仿宋" w:hAnsi="仿宋" w:eastAsia="仿宋" w:cs="仿宋"/>
          <w:color w:val="000000"/>
          <w:sz w:val="24"/>
          <w:szCs w:val="24"/>
          <w:lang w:val="en-US" w:eastAsia="en-US"/>
        </w:rPr>
      </w:pPr>
      <w:r>
        <w:rPr>
          <w:rFonts w:hint="eastAsia" w:ascii="仿宋" w:hAnsi="仿宋" w:eastAsia="仿宋" w:cs="仿宋"/>
          <w:color w:val="000000"/>
          <w:sz w:val="24"/>
          <w:szCs w:val="24"/>
          <w:lang w:val="en-US" w:eastAsia="zh-CN"/>
        </w:rPr>
        <w:t>注：在签订合同时，中标人明确表示无需预付款或者主动要求降低预付款比例的金额，采购人可不适用预付款规定。</w:t>
      </w:r>
    </w:p>
    <w:p w14:paraId="561D60B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七、售后服务</w:t>
      </w:r>
    </w:p>
    <w:p w14:paraId="70BE196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（一）验收通过之日起对设备免费保修</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年。在</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年保修期内乙方对产品质量实行三包，因设备配置或制造质量问题而引起的故障，乙方应在2小时内立即予以免费维修或更换，提供软件终身免费升级服务，由此引起的一切费用由乙方承担。</w:t>
      </w:r>
    </w:p>
    <w:p w14:paraId="771149FC">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（二）技术支持响应时间。一般问题即时电话支持，难点、重点问题24小时内现场解决，若外地企业，必须授权委托本地化服务，质保期内相关费用由乙方承担，质保期满后乙方收取成本费。</w:t>
      </w:r>
    </w:p>
    <w:p w14:paraId="1252D7D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73" w:firstLine="480"/>
      </w:pPr>
      <w:r>
        <w:rPr>
          <w:rFonts w:hint="eastAsia" w:ascii="仿宋" w:hAnsi="仿宋" w:eastAsia="仿宋" w:cs="仿宋"/>
          <w:color w:val="000000"/>
          <w:sz w:val="24"/>
          <w:szCs w:val="24"/>
        </w:rPr>
        <w:t>八、履约保证金</w:t>
      </w:r>
    </w:p>
    <w:p w14:paraId="5047176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按采购合同总价的 </w:t>
      </w: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 xml:space="preserve"> %提交。</w:t>
      </w:r>
    </w:p>
    <w:p w14:paraId="5C2CA16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支持和鼓励投标人使用江苏政府采购电子履约保函（保险）代替缴纳履约保证金，投标人如使用江苏政府采购电子履约保函（保险）的，可按采购合同总价的 </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 xml:space="preserve"> %（履约保证金原提交金额的6折）提交。办理流程、偿付等内容见江苏政府采购网“保险保函”模块。</w:t>
      </w:r>
    </w:p>
    <w:p w14:paraId="3FE242C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26.3履约保证金退还方式</w:t>
      </w:r>
    </w:p>
    <w:p w14:paraId="102F9EF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以银行电汇、网上银行、数字人民币形式缴纳履约保证金的，退回至投标人存款账户或数字人民币账户；以保函、担保、保险等形式缴纳履约保证金的，在保函、担保、保险约定的保证期限届满之日起自行失效。</w:t>
      </w:r>
    </w:p>
    <w:p w14:paraId="74F7AB7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26.4履约保证金退还条件</w:t>
      </w:r>
    </w:p>
    <w:p w14:paraId="7A53B45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具有验收合格相关证明材料。</w:t>
      </w:r>
    </w:p>
    <w:p w14:paraId="5C8F821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26.5履约保证金退还时间</w:t>
      </w:r>
    </w:p>
    <w:p w14:paraId="595429C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采购人收到投标人退付申请后5个工作日内退还。</w:t>
      </w:r>
    </w:p>
    <w:p w14:paraId="6611152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26.6履约保证金不予退还情形</w:t>
      </w:r>
    </w:p>
    <w:p w14:paraId="434F770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除不可抗力外，中标人不履行与采购人订立的采购合同的，履约保证金不予退还，给采购人造成的损失超过履约保证金数额的，还应对超过部分予以赔偿。</w:t>
      </w:r>
    </w:p>
    <w:p w14:paraId="17F9FCCC">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rPr>
          <w:rFonts w:hint="eastAsia" w:ascii="仿宋" w:hAnsi="仿宋" w:eastAsia="仿宋" w:cs="仿宋"/>
          <w:color w:val="000000"/>
          <w:sz w:val="24"/>
          <w:szCs w:val="24"/>
        </w:rPr>
      </w:pPr>
      <w:r>
        <w:rPr>
          <w:rFonts w:hint="eastAsia" w:ascii="仿宋" w:hAnsi="仿宋" w:eastAsia="仿宋" w:cs="仿宋"/>
          <w:color w:val="000000"/>
          <w:sz w:val="24"/>
          <w:szCs w:val="24"/>
        </w:rPr>
        <w:t>26.7逾期退还履约保证金违约责任</w:t>
      </w:r>
    </w:p>
    <w:p w14:paraId="47D5CCC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采购人逾期退还履约保证金的，除应退还履约保证金外，还应按中国人民银行同期贷款基准利率上浮20％后的利率支付超期资金占用费，但因投标人自身原因导致无法及时退还的除外。</w:t>
      </w:r>
    </w:p>
    <w:p w14:paraId="3550240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九、违约条款</w:t>
      </w:r>
    </w:p>
    <w:p w14:paraId="6702C76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（一）乙方不按期完成合同约定的内容，应向甲方支付违约金，除甲方或不可抗力造</w:t>
      </w:r>
      <w:r>
        <w:rPr>
          <w:rFonts w:hint="eastAsia" w:ascii="仿宋" w:hAnsi="仿宋" w:eastAsia="仿宋" w:cs="仿宋"/>
          <w:color w:val="000000"/>
          <w:sz w:val="24"/>
          <w:szCs w:val="24"/>
          <w:lang w:eastAsia="zh-CN"/>
        </w:rPr>
        <w:t>成的</w:t>
      </w:r>
      <w:r>
        <w:rPr>
          <w:rFonts w:hint="eastAsia" w:ascii="仿宋" w:hAnsi="仿宋" w:eastAsia="仿宋" w:cs="仿宋"/>
          <w:color w:val="000000"/>
          <w:sz w:val="24"/>
          <w:szCs w:val="24"/>
        </w:rPr>
        <w:t>原因外，每延迟交付一天，按合同总价款的</w:t>
      </w:r>
      <w:r>
        <w:rPr>
          <w:rFonts w:hint="eastAsia" w:ascii="仿宋" w:hAnsi="仿宋" w:eastAsia="仿宋" w:cs="仿宋"/>
          <w:color w:val="000000"/>
          <w:sz w:val="24"/>
          <w:szCs w:val="24"/>
          <w:u w:val="single"/>
        </w:rPr>
        <w:t>0.5%</w:t>
      </w:r>
      <w:r>
        <w:rPr>
          <w:rFonts w:hint="eastAsia" w:ascii="仿宋" w:hAnsi="仿宋" w:eastAsia="仿宋" w:cs="仿宋"/>
          <w:color w:val="000000"/>
          <w:sz w:val="24"/>
          <w:szCs w:val="24"/>
        </w:rPr>
        <w:t>支付违约金，违约金可直接从履约保证金中扣除; 延期超过</w:t>
      </w:r>
      <w:r>
        <w:rPr>
          <w:rFonts w:hint="eastAsia" w:ascii="仿宋" w:hAnsi="仿宋" w:eastAsia="仿宋" w:cs="仿宋"/>
          <w:color w:val="000000"/>
          <w:sz w:val="24"/>
          <w:szCs w:val="24"/>
          <w:u w:val="single"/>
        </w:rPr>
        <w:t xml:space="preserve"> 3</w:t>
      </w:r>
      <w:r>
        <w:rPr>
          <w:rFonts w:hint="eastAsia" w:ascii="仿宋" w:hAnsi="仿宋" w:eastAsia="仿宋" w:cs="仿宋"/>
          <w:color w:val="000000"/>
          <w:sz w:val="24"/>
          <w:szCs w:val="24"/>
        </w:rPr>
        <w:t xml:space="preserve">日，甲方有权强制解除合同并没收履约保证金。               </w:t>
      </w:r>
    </w:p>
    <w:p w14:paraId="7A1DCB9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（二）乙方所供产品品种、型号、规格、花色、质量不符合规定的，由其负责包换或包修，并承担修理、调换或退货而支付的实际费用。 </w:t>
      </w:r>
    </w:p>
    <w:p w14:paraId="5690FFE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（三）非因甲方原因，乙方不履行本合同规定的义务，致使工期延误，甲方有权要求其强制履行或解除合同，并要求乙方等额赔偿由此造成的一切损失。</w:t>
      </w:r>
    </w:p>
    <w:p w14:paraId="5A2249D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（四）本项目不得转让分包，如有发生，除没收其履约保证金外，无条件清理退场，所造成的一切损失由乙方负责。</w:t>
      </w:r>
    </w:p>
    <w:p w14:paraId="2CD2883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（五）甲方未按约定期限付款的，除向乙方支付货款外，须按中国人民银行有关规定向乙方支付滞纳金。</w:t>
      </w:r>
    </w:p>
    <w:p w14:paraId="682576B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十、知识产权</w:t>
      </w:r>
    </w:p>
    <w:p w14:paraId="74BB1F7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乙方应保证甲方免除并承担由于甲方在其本国使用该项目时而引起第三方提出的侵犯专利权、知识产权或设计权的起诉、行政程序索赔、请求等以及甲方为此而产生的损失和损害、费用和支出（包括律师费）。</w:t>
      </w:r>
    </w:p>
    <w:p w14:paraId="5A715BFA">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十一、合同生效及审核</w:t>
      </w:r>
    </w:p>
    <w:p w14:paraId="733331F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本合同经甲方、乙方签字盖章后生效，合同签订的内容不能超出招标文件和投标文件的实质性内容。</w:t>
      </w:r>
    </w:p>
    <w:p w14:paraId="340C36F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十二、合同的组成部分</w:t>
      </w:r>
    </w:p>
    <w:p w14:paraId="694B3A7A">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 xml:space="preserve">本合同条款、中标通知书、招标（谈判）文件、投（竞）标文件及投（竞）标人在开标时的书面承诺等构成合同的组成部分。 </w:t>
      </w:r>
    </w:p>
    <w:p w14:paraId="6F9C6FE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十三、本合同一式六份，以中文书写，甲方、乙方各执二份，政府采购科各一份。</w:t>
      </w:r>
    </w:p>
    <w:p w14:paraId="7EA2899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十四、本合同一切未尽事宜，按有关规定执行，无相关规定的，由甲乙双方协商解决。</w:t>
      </w:r>
    </w:p>
    <w:p w14:paraId="192C470C">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640"/>
        <w:jc w:val="center"/>
      </w:pPr>
      <w:r>
        <w:t> </w:t>
      </w:r>
    </w:p>
    <w:p w14:paraId="1D0B473B">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640"/>
        <w:jc w:val="center"/>
      </w:pPr>
      <w:r>
        <w:rPr>
          <w:rFonts w:hint="eastAsia" w:ascii="仿宋" w:hAnsi="仿宋" w:eastAsia="仿宋" w:cs="仿宋"/>
          <w:color w:val="000000"/>
          <w:sz w:val="32"/>
          <w:szCs w:val="32"/>
        </w:rPr>
        <w:t>通用条款</w:t>
      </w:r>
    </w:p>
    <w:p w14:paraId="6BB82C8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十五、词语</w:t>
      </w:r>
      <w:r>
        <w:rPr>
          <w:rFonts w:hint="eastAsia" w:ascii="仿宋" w:hAnsi="仿宋" w:eastAsia="仿宋" w:cs="仿宋"/>
          <w:color w:val="000000"/>
          <w:sz w:val="24"/>
          <w:szCs w:val="24"/>
          <w:lang w:eastAsia="zh-CN"/>
        </w:rPr>
        <w:t>含义</w:t>
      </w:r>
    </w:p>
    <w:p w14:paraId="4750D38F">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（一）合同：甲乙双方签署的、合同格式中载明的甲方与乙方所达成的协议，包括所有的附件、附录和构成合同的所有文件。</w:t>
      </w:r>
    </w:p>
    <w:p w14:paraId="6B0981C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（二）合同价：根据合同规定，乙方在正确地完全履行合同义务后甲方应支付给乙方的价格。</w:t>
      </w:r>
    </w:p>
    <w:p w14:paraId="3DC34C1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（三）货物：乙方根据合同规定须向甲方提供的一切产品、机械、仪表、备件、工具、手册和其他技术资料及其他材料。</w:t>
      </w:r>
    </w:p>
    <w:p w14:paraId="7406935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（四）服务：根据合同规定乙方承担与供货有关的辅助服务，如运输、保险以及</w:t>
      </w:r>
      <w:r>
        <w:rPr>
          <w:rFonts w:hint="eastAsia" w:ascii="仿宋" w:hAnsi="仿宋" w:eastAsia="仿宋" w:cs="仿宋"/>
          <w:color w:val="000000"/>
          <w:sz w:val="24"/>
          <w:szCs w:val="24"/>
          <w:lang w:eastAsia="zh-CN"/>
        </w:rPr>
        <w:t>其他</w:t>
      </w:r>
      <w:r>
        <w:rPr>
          <w:rFonts w:hint="eastAsia" w:ascii="仿宋" w:hAnsi="仿宋" w:eastAsia="仿宋" w:cs="仿宋"/>
          <w:color w:val="000000"/>
          <w:sz w:val="24"/>
          <w:szCs w:val="24"/>
        </w:rPr>
        <w:t>的伴随服务，比如调试、提供技术援助、培训和其他类似的乙方应承担的义务。</w:t>
      </w:r>
    </w:p>
    <w:p w14:paraId="15851B0E">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（五）甲方：采购单位，即</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3941E2C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（六）乙方：提供货物和服务的公司或实体，即</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4747852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（七）不可抗力：指不能预见、不能避免和不能克服的客观情况，如战争、动乱、空中飞行物体坠落或</w:t>
      </w:r>
      <w:r>
        <w:rPr>
          <w:rFonts w:hint="eastAsia" w:ascii="仿宋" w:hAnsi="仿宋" w:eastAsia="仿宋" w:cs="仿宋"/>
          <w:color w:val="000000"/>
          <w:sz w:val="24"/>
          <w:szCs w:val="24"/>
          <w:lang w:eastAsia="zh-CN"/>
        </w:rPr>
        <w:t>其他</w:t>
      </w:r>
      <w:r>
        <w:rPr>
          <w:rFonts w:hint="eastAsia" w:ascii="仿宋" w:hAnsi="仿宋" w:eastAsia="仿宋" w:cs="仿宋"/>
          <w:color w:val="000000"/>
          <w:sz w:val="24"/>
          <w:szCs w:val="24"/>
        </w:rPr>
        <w:t>非甲乙方责任造成的爆炸、火灾，以及协议条款约定等级以上的风、雨、雪、地震等。</w:t>
      </w:r>
    </w:p>
    <w:p w14:paraId="786AE42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十六、技术规格</w:t>
      </w:r>
    </w:p>
    <w:p w14:paraId="015C18F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乙方所提供货物的技术规格应与招标文件规定的技术规格以及所附的技术规格响应表相一致。</w:t>
      </w:r>
    </w:p>
    <w:p w14:paraId="7C59B30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十七、专利权</w:t>
      </w:r>
    </w:p>
    <w:p w14:paraId="0F74CF1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乙方应保证甲方在使用该货物或其任何一部分时不受第三方提出侵犯其专利权、商标权和工业设计权的起诉。一旦出现专利侵权，乙方应负全部责任。</w:t>
      </w:r>
    </w:p>
    <w:p w14:paraId="6257A63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十八、包装要求</w:t>
      </w:r>
    </w:p>
    <w:p w14:paraId="2E529FC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除合同另有规定外，乙方提供的全部货物均按标准保护措施进行包装。该包装应适应于远距离运输、防潮、防震、防锈和防野蛮装卸，以确保货物安全无损运抵指定现场。由于包装不善所引起的货物锈蚀、损坏和损失均由乙方承担。</w:t>
      </w:r>
    </w:p>
    <w:p w14:paraId="0747C44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（二）每件包装箱内应附一份详细装箱单和质量合格标识。</w:t>
      </w:r>
    </w:p>
    <w:p w14:paraId="1A221A9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十九、装运条件及安全措施</w:t>
      </w:r>
    </w:p>
    <w:p w14:paraId="20364CFB">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1.根据采购人指定地点，乙方负责安排运输，并承担运费。</w:t>
      </w:r>
    </w:p>
    <w:p w14:paraId="0CB4419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2.在货物运输和施工安装所有过程中，乙方应做好安全工作，否则，发生的一切事故，皆由乙方自行承担。</w:t>
      </w:r>
    </w:p>
    <w:p w14:paraId="66E73D56">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二十、付款</w:t>
      </w:r>
    </w:p>
    <w:p w14:paraId="17B800F4">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（一）本合同以人民币付款。</w:t>
      </w:r>
    </w:p>
    <w:p w14:paraId="68CB891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（二）乙方应按照与甲方签订的合同规定交货。交货后乙方向甲方提供下列单据，按合同规定审核后付款：</w:t>
      </w:r>
    </w:p>
    <w:p w14:paraId="5128849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1、发票；</w:t>
      </w:r>
    </w:p>
    <w:p w14:paraId="0509415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2、制造厂家出具的质量检验合格证书等；</w:t>
      </w:r>
    </w:p>
    <w:p w14:paraId="71EE6E7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3、装箱单；</w:t>
      </w:r>
    </w:p>
    <w:p w14:paraId="70052FDF">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4、验收合格证书；</w:t>
      </w:r>
    </w:p>
    <w:p w14:paraId="19EA05DB">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5、甲方加盖公章证明货物交付使用合格的验收合格报告。</w:t>
      </w:r>
    </w:p>
    <w:p w14:paraId="5979CDA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二十一、伴随服务</w:t>
      </w:r>
    </w:p>
    <w:p w14:paraId="4DC88ED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乙方应按照国家有关规定和合同中所附的服务承诺提供服务，主要包括：</w:t>
      </w:r>
    </w:p>
    <w:p w14:paraId="3EBC253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（一）货物的现场；</w:t>
      </w:r>
    </w:p>
    <w:p w14:paraId="018F6EAB">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（二）提供货物组装和维修所需的工具；</w:t>
      </w:r>
    </w:p>
    <w:p w14:paraId="6FB0F66B">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（三）在合同中乙方承诺的期限内对所提供货物实施运行监督、维修，该服务并不能免除乙方在质量保证期内应承担的义务；</w:t>
      </w:r>
    </w:p>
    <w:p w14:paraId="46FB3A78">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（四）在项目交货现场就货物的、启动、运行、维护对使用方人员进行培训。</w:t>
      </w:r>
    </w:p>
    <w:p w14:paraId="2B41111A">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二十二、质量保证</w:t>
      </w:r>
    </w:p>
    <w:p w14:paraId="390C8D7F">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（一）乙方所提供的产品必须符合最新的国家标准和行业标准。</w:t>
      </w:r>
    </w:p>
    <w:p w14:paraId="0622EF8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乙方应保证货物是全新、未使用过的原装合格正品，并完全符合合同规定的质量、规格和性能。货物在正确、正常使用和保养条件下，在其使用寿命内应具有满意的性能。货物最终验收后，在质量保证期内，对由于设计、工艺或材料缺陷而发生任何不足或故障，乙方应负责并承担相应费用。</w:t>
      </w:r>
    </w:p>
    <w:p w14:paraId="2CB7CBF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二十三、检验</w:t>
      </w:r>
    </w:p>
    <w:p w14:paraId="4324803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在发货前，乙方应对货物的质量、规格、性能、数量和重量等进行准确而全面的检验，并出具一份证明货物符合合同规定的证书。该证书将作为提交付款单据的一部分，但有关质量、规格、性能、数量或重量的检验不应视为最终检验。检验的结果和细节应附在检验证书后面。</w:t>
      </w:r>
    </w:p>
    <w:p w14:paraId="60BB3D9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甲方在乙方交货后及时组织验收，如果货物的质量和规格与合同规定相符，甲方应及时填写验收表，加盖公章后报政府采购科；如果货物的质量、规格与合同规定不符，或在质量保证期内发现货物是有缺陷的（包括潜在缺陷或使用不符合要求的材料），甲方应报请法定检验机构进行检查，有权凭其出具的检验报告向乙方提出索赔，检验报告送政府采购科备案。</w:t>
      </w:r>
    </w:p>
    <w:p w14:paraId="3A1931BA">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（三）供应商所投产品需进行商品包装和快递包装的，应不低于《关于印发〈商品包装政府采购需求标准（试行）〉、 〈快递包装政府采购需求标准（试行）〉的通知》（财办库〔2020〕123号）文件规定的参考标准。在履约验收时按照本条款执行，违反本约定的对照合同违约条款追究违约责任。供应商一旦参与本项目投标，即完全响应本条款要求。</w:t>
      </w:r>
    </w:p>
    <w:p w14:paraId="2F9C9F0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二十四、索赔</w:t>
      </w:r>
    </w:p>
    <w:p w14:paraId="3A1E7B69">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一）甲方有权根据法定检验机构出具的检验报告，向乙方提出索赔。根据合同规定的检验期和质量保证期内，如乙方对甲方提出的索赔和差异负有责任，乙方应按照甲方同意的下列一种或多种方式解决索赔事宜：</w:t>
      </w:r>
    </w:p>
    <w:p w14:paraId="0A5A541A">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1、乙方同意退货，按合同中规定的货币将货款退还给甲方，并承担由此发生的一切损失和费用，包括利息、银行手续费、运费、保险费、检验费、仓储费、装卸费以及为保护退回货物所需的</w:t>
      </w:r>
      <w:r>
        <w:rPr>
          <w:rFonts w:hint="eastAsia" w:ascii="仿宋" w:hAnsi="仿宋" w:eastAsia="仿宋" w:cs="仿宋"/>
          <w:color w:val="000000"/>
          <w:sz w:val="24"/>
          <w:szCs w:val="24"/>
          <w:lang w:eastAsia="zh-CN"/>
        </w:rPr>
        <w:t>其他</w:t>
      </w:r>
      <w:r>
        <w:rPr>
          <w:rFonts w:hint="eastAsia" w:ascii="仿宋" w:hAnsi="仿宋" w:eastAsia="仿宋" w:cs="仿宋"/>
          <w:color w:val="000000"/>
          <w:sz w:val="24"/>
          <w:szCs w:val="24"/>
        </w:rPr>
        <w:t>必要费用。</w:t>
      </w:r>
    </w:p>
    <w:p w14:paraId="0F461A3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2、根据货物的低劣程度、损坏程度以及甲方所遭损失的数额，乙方须降低货物的价格。</w:t>
      </w:r>
    </w:p>
    <w:p w14:paraId="47E3CA1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3、用符合合同规定的规格、质量和性能要求的新零件、部件或产品来更换</w:t>
      </w:r>
      <w:r>
        <w:rPr>
          <w:rFonts w:hint="eastAsia" w:ascii="仿宋" w:hAnsi="仿宋" w:eastAsia="仿宋" w:cs="仿宋"/>
          <w:color w:val="000000"/>
          <w:sz w:val="24"/>
          <w:szCs w:val="24"/>
          <w:lang w:eastAsia="zh-CN"/>
        </w:rPr>
        <w:t>和</w:t>
      </w:r>
      <w:r>
        <w:rPr>
          <w:rFonts w:hint="eastAsia" w:ascii="仿宋" w:hAnsi="仿宋" w:eastAsia="仿宋" w:cs="仿宋"/>
          <w:color w:val="000000"/>
          <w:sz w:val="24"/>
          <w:szCs w:val="24"/>
        </w:rPr>
        <w:t>修补有缺陷的部分，乙方应承担一切费用和风险并负担甲方所蒙受的全部直接损失费用。同时应按合同规定对更换和修补件，相应延长质量保证期。</w:t>
      </w:r>
    </w:p>
    <w:p w14:paraId="24DDA0D1">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（二）在甲方发出索赔通知后20天内，如乙方未作答复，上述索赔应视为已被接受，按照本合同规定的任何一种方法解决索赔事宜，甲方将从乙方开具的履约保证金中扣除索赔金额或采用法律手段解决索赔事宜。</w:t>
      </w:r>
    </w:p>
    <w:p w14:paraId="70C61D1F">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二十五、误期赔偿</w:t>
      </w:r>
    </w:p>
    <w:p w14:paraId="5D4FC9A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除合同规定外，如果乙方没有按照合同规定的时间交货和提供服务，甲方将从货款中扣除误期赔偿费而不影响合同项目的其他补救方法，赔偿费按每天迟交货物交货价或未提供服务费用的0.5%计收，直至交货或提供服务为止。但误期赔偿费的最高</w:t>
      </w:r>
      <w:r>
        <w:rPr>
          <w:rFonts w:hint="eastAsia" w:ascii="仿宋" w:hAnsi="仿宋" w:eastAsia="仿宋" w:cs="仿宋"/>
          <w:color w:val="000000"/>
          <w:sz w:val="24"/>
          <w:szCs w:val="24"/>
          <w:lang w:eastAsia="zh-CN"/>
        </w:rPr>
        <w:t>限度</w:t>
      </w:r>
      <w:r>
        <w:rPr>
          <w:rFonts w:hint="eastAsia" w:ascii="仿宋" w:hAnsi="仿宋" w:eastAsia="仿宋" w:cs="仿宋"/>
          <w:color w:val="000000"/>
          <w:sz w:val="24"/>
          <w:szCs w:val="24"/>
        </w:rPr>
        <w:t>为误期货物或服务合同价的5%。一旦达到误期赔偿的最高限额，甲方可考虑终止合同。</w:t>
      </w:r>
    </w:p>
    <w:p w14:paraId="3BC5C3C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二十六、不可抗力</w:t>
      </w:r>
    </w:p>
    <w:p w14:paraId="478068C5">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在不可抗力事件发生后，乙方应尽快以书面形式将不可抗力的情况和原因通知甲方，同时应尽实际可能继续履行合同义务，以及寻求采取合理的方案履行不受不可抗力影响的其他事项。如果不可抗力事件影响时间持续120天以上时，双方应通过友好协商在合理的时间内达成进一步履行合同的协议。</w:t>
      </w:r>
    </w:p>
    <w:p w14:paraId="6429BF6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二十七、税费</w:t>
      </w:r>
    </w:p>
    <w:p w14:paraId="1DC064DE">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中国政府根据现行税法规定对甲方征收的与本合同有关的一切税费由甲方负担；规定对乙方征收的与本合同有关的一切税费由乙方负担。</w:t>
      </w:r>
    </w:p>
    <w:p w14:paraId="134894B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二十八、合同争议</w:t>
      </w:r>
    </w:p>
    <w:p w14:paraId="5B78DDED">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 xml:space="preserve">甲乙双方应通过友好协商，解决在执行本合同中所发生的或与本合同有关的一切争议。如果协商仍得不到解决，任何一方均可按“中华人民共和国民法典”规定提交调解和仲裁。   </w:t>
      </w:r>
    </w:p>
    <w:p w14:paraId="60FD7E23">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二十九、适用法律</w:t>
      </w:r>
    </w:p>
    <w:p w14:paraId="127F5360">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firstLine="480"/>
      </w:pPr>
      <w:r>
        <w:rPr>
          <w:rFonts w:hint="eastAsia" w:ascii="仿宋" w:hAnsi="仿宋" w:eastAsia="仿宋" w:cs="仿宋"/>
          <w:color w:val="000000"/>
          <w:sz w:val="24"/>
          <w:szCs w:val="24"/>
        </w:rPr>
        <w:t>本合同应按照中华人民共和国的现行法律进行解释。</w:t>
      </w:r>
    </w:p>
    <w:p w14:paraId="0D841A52">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pPr>
      <w:r>
        <w:t> </w:t>
      </w:r>
    </w:p>
    <w:p w14:paraId="7A38FB17">
      <w:pPr>
        <w:pStyle w:val="48"/>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color w:val="000000"/>
          <w:sz w:val="24"/>
          <w:szCs w:val="24"/>
        </w:rPr>
        <w:t>甲方：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（盖章）      乙方：</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（盖章）             </w:t>
      </w:r>
    </w:p>
    <w:p w14:paraId="293B3C8C">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color w:val="000000"/>
          <w:sz w:val="24"/>
          <w:szCs w:val="24"/>
        </w:rPr>
        <w:t>地址：</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地址：</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w:t>
      </w:r>
    </w:p>
    <w:p w14:paraId="7285CE43">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color w:val="000000"/>
          <w:sz w:val="24"/>
          <w:szCs w:val="24"/>
        </w:rPr>
        <w:t>法定（授权）代表人：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法定（授权）代表人：</w:t>
      </w:r>
      <w:r>
        <w:rPr>
          <w:rFonts w:hint="eastAsia" w:ascii="仿宋" w:hAnsi="仿宋" w:eastAsia="仿宋" w:cs="仿宋"/>
          <w:color w:val="000000"/>
          <w:sz w:val="24"/>
          <w:szCs w:val="24"/>
          <w:u w:val="single"/>
        </w:rPr>
        <w:t xml:space="preserve">              </w:t>
      </w:r>
    </w:p>
    <w:p w14:paraId="139E6EED">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color w:val="000000"/>
          <w:sz w:val="24"/>
          <w:szCs w:val="24"/>
        </w:rPr>
        <w:t>联系人：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联系人：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w:t>
      </w:r>
    </w:p>
    <w:p w14:paraId="1F9A834F">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color w:val="000000"/>
          <w:sz w:val="24"/>
          <w:szCs w:val="24"/>
        </w:rPr>
        <w:t>联系电话：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联系电话：</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w:t>
      </w:r>
    </w:p>
    <w:p w14:paraId="18FEB8DE">
      <w:pPr>
        <w:pStyle w:val="48"/>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pPr>
      <w:r>
        <w:rPr>
          <w:rFonts w:hint="eastAsia" w:ascii="仿宋" w:hAnsi="仿宋" w:eastAsia="仿宋" w:cs="仿宋"/>
          <w:b/>
          <w:bCs/>
          <w:color w:val="000000"/>
          <w:sz w:val="24"/>
          <w:szCs w:val="24"/>
          <w:u w:val="single"/>
        </w:rPr>
        <w:t>202</w:t>
      </w:r>
      <w:r>
        <w:rPr>
          <w:rFonts w:hint="eastAsia" w:ascii="仿宋" w:hAnsi="仿宋" w:eastAsia="仿宋" w:cs="仿宋"/>
          <w:b/>
          <w:bCs/>
          <w:color w:val="000000"/>
          <w:sz w:val="24"/>
          <w:szCs w:val="24"/>
          <w:u w:val="single"/>
          <w:lang w:val="en-US" w:eastAsia="zh-CN"/>
        </w:rPr>
        <w:t>5</w:t>
      </w:r>
      <w:r>
        <w:rPr>
          <w:rFonts w:hint="eastAsia" w:ascii="仿宋" w:hAnsi="仿宋" w:eastAsia="仿宋" w:cs="仿宋"/>
          <w:b/>
          <w:bCs/>
          <w:color w:val="000000"/>
          <w:sz w:val="24"/>
          <w:szCs w:val="24"/>
        </w:rPr>
        <w:t>年</w:t>
      </w:r>
      <w:r>
        <w:rPr>
          <w:rFonts w:hint="eastAsia" w:ascii="仿宋" w:hAnsi="仿宋" w:eastAsia="仿宋" w:cs="仿宋"/>
          <w:b/>
          <w:bCs/>
          <w:color w:val="000000"/>
          <w:sz w:val="24"/>
          <w:szCs w:val="24"/>
          <w:u w:val="single"/>
        </w:rPr>
        <w:t xml:space="preserve">    </w:t>
      </w:r>
      <w:r>
        <w:rPr>
          <w:rFonts w:hint="eastAsia" w:ascii="仿宋" w:hAnsi="仿宋" w:eastAsia="仿宋" w:cs="仿宋"/>
          <w:b/>
          <w:bCs/>
          <w:color w:val="000000"/>
          <w:sz w:val="24"/>
          <w:szCs w:val="24"/>
        </w:rPr>
        <w:t>月</w:t>
      </w:r>
      <w:r>
        <w:rPr>
          <w:rFonts w:hint="eastAsia" w:ascii="仿宋" w:hAnsi="仿宋" w:eastAsia="仿宋" w:cs="仿宋"/>
          <w:b/>
          <w:bCs/>
          <w:color w:val="000000"/>
          <w:sz w:val="24"/>
          <w:szCs w:val="24"/>
          <w:u w:val="single"/>
        </w:rPr>
        <w:t xml:space="preserve">    </w:t>
      </w:r>
      <w:r>
        <w:rPr>
          <w:rFonts w:hint="eastAsia" w:ascii="仿宋" w:hAnsi="仿宋" w:eastAsia="仿宋" w:cs="仿宋"/>
          <w:b/>
          <w:bCs/>
          <w:color w:val="000000"/>
          <w:sz w:val="24"/>
          <w:szCs w:val="24"/>
        </w:rPr>
        <w:t xml:space="preserve">日                 </w:t>
      </w:r>
      <w:r>
        <w:rPr>
          <w:rFonts w:hint="eastAsia" w:ascii="仿宋" w:hAnsi="仿宋" w:eastAsia="仿宋" w:cs="仿宋"/>
          <w:b/>
          <w:bCs/>
          <w:color w:val="000000"/>
          <w:sz w:val="24"/>
          <w:szCs w:val="24"/>
          <w:u w:val="single"/>
        </w:rPr>
        <w:t>202</w:t>
      </w:r>
      <w:r>
        <w:rPr>
          <w:rFonts w:hint="eastAsia" w:ascii="仿宋" w:hAnsi="仿宋" w:eastAsia="仿宋" w:cs="仿宋"/>
          <w:b/>
          <w:bCs/>
          <w:color w:val="000000"/>
          <w:sz w:val="24"/>
          <w:szCs w:val="24"/>
          <w:u w:val="single"/>
          <w:lang w:val="en-US" w:eastAsia="zh-CN"/>
        </w:rPr>
        <w:t>5</w:t>
      </w:r>
      <w:r>
        <w:rPr>
          <w:rFonts w:hint="eastAsia" w:ascii="仿宋" w:hAnsi="仿宋" w:eastAsia="仿宋" w:cs="仿宋"/>
          <w:b/>
          <w:bCs/>
          <w:color w:val="000000"/>
          <w:sz w:val="24"/>
          <w:szCs w:val="24"/>
        </w:rPr>
        <w:t>年</w:t>
      </w:r>
      <w:r>
        <w:rPr>
          <w:rFonts w:hint="eastAsia" w:ascii="仿宋" w:hAnsi="仿宋" w:eastAsia="仿宋" w:cs="仿宋"/>
          <w:b/>
          <w:bCs/>
          <w:color w:val="000000"/>
          <w:sz w:val="24"/>
          <w:szCs w:val="24"/>
          <w:u w:val="single"/>
        </w:rPr>
        <w:t xml:space="preserve">    </w:t>
      </w:r>
      <w:r>
        <w:rPr>
          <w:rFonts w:hint="eastAsia" w:ascii="仿宋" w:hAnsi="仿宋" w:eastAsia="仿宋" w:cs="仿宋"/>
          <w:b/>
          <w:bCs/>
          <w:color w:val="000000"/>
          <w:sz w:val="24"/>
          <w:szCs w:val="24"/>
        </w:rPr>
        <w:t>月</w:t>
      </w:r>
      <w:r>
        <w:rPr>
          <w:rFonts w:hint="eastAsia" w:ascii="仿宋" w:hAnsi="仿宋" w:eastAsia="仿宋" w:cs="仿宋"/>
          <w:b/>
          <w:bCs/>
          <w:color w:val="000000"/>
          <w:sz w:val="24"/>
          <w:szCs w:val="24"/>
          <w:u w:val="single"/>
        </w:rPr>
        <w:t xml:space="preserve">    </w:t>
      </w:r>
      <w:r>
        <w:rPr>
          <w:rFonts w:hint="eastAsia" w:ascii="仿宋" w:hAnsi="仿宋" w:eastAsia="仿宋" w:cs="仿宋"/>
          <w:b/>
          <w:bCs/>
          <w:color w:val="000000"/>
          <w:sz w:val="24"/>
          <w:szCs w:val="24"/>
        </w:rPr>
        <w:t>日</w:t>
      </w:r>
    </w:p>
    <w:p w14:paraId="280632D0">
      <w:pPr>
        <w:adjustRightInd w:val="0"/>
        <w:snapToGrid w:val="0"/>
        <w:spacing w:line="400" w:lineRule="exact"/>
        <w:ind w:firstLine="480" w:firstLineChars="200"/>
        <w:rPr>
          <w:rFonts w:ascii="Times New Roman" w:hAnsi="Times New Roman"/>
          <w:bCs/>
          <w:color w:val="auto"/>
          <w:sz w:val="24"/>
          <w:szCs w:val="24"/>
          <w:highlight w:val="none"/>
        </w:rPr>
      </w:pPr>
    </w:p>
    <w:p w14:paraId="39DD3392">
      <w:pPr>
        <w:adjustRightInd w:val="0"/>
        <w:snapToGrid w:val="0"/>
        <w:spacing w:line="400" w:lineRule="exact"/>
        <w:ind w:firstLine="480" w:firstLineChars="200"/>
        <w:rPr>
          <w:rFonts w:ascii="Times New Roman" w:hAnsi="Times New Roman"/>
          <w:bCs/>
          <w:color w:val="auto"/>
          <w:sz w:val="24"/>
          <w:szCs w:val="24"/>
          <w:highlight w:val="none"/>
        </w:rPr>
      </w:pPr>
    </w:p>
    <w:p w14:paraId="3F88BCFC">
      <w:pPr>
        <w:adjustRightInd w:val="0"/>
        <w:snapToGrid w:val="0"/>
        <w:spacing w:line="400" w:lineRule="exact"/>
        <w:ind w:firstLine="480" w:firstLineChars="200"/>
        <w:rPr>
          <w:rFonts w:ascii="Times New Roman" w:hAnsi="Times New Roman"/>
          <w:bCs/>
          <w:color w:val="auto"/>
          <w:sz w:val="24"/>
          <w:szCs w:val="24"/>
          <w:highlight w:val="none"/>
        </w:rPr>
      </w:pPr>
    </w:p>
    <w:p w14:paraId="25B9950A">
      <w:pPr>
        <w:adjustRightInd w:val="0"/>
        <w:snapToGrid w:val="0"/>
        <w:spacing w:line="400" w:lineRule="exact"/>
        <w:ind w:firstLine="480" w:firstLineChars="200"/>
        <w:rPr>
          <w:rFonts w:ascii="Times New Roman" w:hAnsi="Times New Roman"/>
          <w:bCs/>
          <w:color w:val="auto"/>
          <w:sz w:val="24"/>
          <w:szCs w:val="24"/>
          <w:highlight w:val="none"/>
        </w:rPr>
      </w:pPr>
    </w:p>
    <w:p w14:paraId="14A72214">
      <w:pPr>
        <w:adjustRightInd w:val="0"/>
        <w:snapToGrid w:val="0"/>
        <w:spacing w:line="400" w:lineRule="exact"/>
        <w:ind w:firstLine="480" w:firstLineChars="200"/>
        <w:rPr>
          <w:rFonts w:ascii="Times New Roman" w:hAnsi="Times New Roman"/>
          <w:bCs/>
          <w:color w:val="auto"/>
          <w:sz w:val="24"/>
          <w:szCs w:val="24"/>
          <w:highlight w:val="none"/>
        </w:rPr>
      </w:pPr>
    </w:p>
    <w:p w14:paraId="0A5631CF">
      <w:pPr>
        <w:adjustRightInd w:val="0"/>
        <w:snapToGrid w:val="0"/>
        <w:spacing w:line="400" w:lineRule="exact"/>
        <w:ind w:firstLine="480" w:firstLineChars="200"/>
        <w:rPr>
          <w:rFonts w:ascii="Times New Roman" w:hAnsi="Times New Roman"/>
          <w:bCs/>
          <w:color w:val="auto"/>
          <w:sz w:val="24"/>
          <w:szCs w:val="24"/>
          <w:highlight w:val="none"/>
        </w:rPr>
      </w:pPr>
    </w:p>
    <w:p w14:paraId="3027FB61">
      <w:pPr>
        <w:adjustRightInd w:val="0"/>
        <w:snapToGrid w:val="0"/>
        <w:spacing w:line="400" w:lineRule="exact"/>
        <w:ind w:firstLine="480" w:firstLineChars="200"/>
        <w:rPr>
          <w:rFonts w:ascii="Times New Roman" w:hAnsi="Times New Roman"/>
          <w:bCs/>
          <w:color w:val="auto"/>
          <w:sz w:val="24"/>
          <w:szCs w:val="24"/>
          <w:highlight w:val="none"/>
        </w:rPr>
      </w:pPr>
    </w:p>
    <w:p w14:paraId="2FDD9036">
      <w:pPr>
        <w:adjustRightInd w:val="0"/>
        <w:snapToGrid w:val="0"/>
        <w:spacing w:line="400" w:lineRule="exact"/>
        <w:ind w:firstLine="480" w:firstLineChars="200"/>
        <w:rPr>
          <w:rFonts w:ascii="Times New Roman" w:hAnsi="Times New Roman"/>
          <w:bCs/>
          <w:color w:val="auto"/>
          <w:sz w:val="24"/>
          <w:szCs w:val="24"/>
          <w:highlight w:val="none"/>
        </w:rPr>
      </w:pPr>
    </w:p>
    <w:p w14:paraId="2D11CD8C">
      <w:pPr>
        <w:adjustRightInd w:val="0"/>
        <w:snapToGrid w:val="0"/>
        <w:spacing w:line="400" w:lineRule="exact"/>
        <w:ind w:firstLine="480" w:firstLineChars="200"/>
        <w:rPr>
          <w:rFonts w:ascii="Times New Roman" w:hAnsi="Times New Roman"/>
          <w:bCs/>
          <w:color w:val="auto"/>
          <w:sz w:val="24"/>
          <w:szCs w:val="24"/>
          <w:highlight w:val="none"/>
        </w:rPr>
      </w:pPr>
    </w:p>
    <w:p w14:paraId="3D1CC825">
      <w:pPr>
        <w:adjustRightInd w:val="0"/>
        <w:snapToGrid w:val="0"/>
        <w:spacing w:line="400" w:lineRule="exact"/>
        <w:ind w:firstLine="480" w:firstLineChars="200"/>
        <w:rPr>
          <w:rFonts w:ascii="Times New Roman" w:hAnsi="Times New Roman"/>
          <w:bCs/>
          <w:color w:val="auto"/>
          <w:sz w:val="24"/>
          <w:szCs w:val="24"/>
          <w:highlight w:val="none"/>
        </w:rPr>
      </w:pPr>
    </w:p>
    <w:p w14:paraId="53ADE9C4">
      <w:pPr>
        <w:adjustRightInd w:val="0"/>
        <w:snapToGrid w:val="0"/>
        <w:spacing w:line="400" w:lineRule="exact"/>
        <w:ind w:firstLine="480" w:firstLineChars="200"/>
        <w:rPr>
          <w:rFonts w:ascii="Times New Roman" w:hAnsi="Times New Roman"/>
          <w:bCs/>
          <w:color w:val="auto"/>
          <w:sz w:val="24"/>
          <w:szCs w:val="24"/>
          <w:highlight w:val="none"/>
        </w:rPr>
      </w:pPr>
    </w:p>
    <w:p w14:paraId="7F5D183D">
      <w:pPr>
        <w:adjustRightInd w:val="0"/>
        <w:snapToGrid w:val="0"/>
        <w:spacing w:line="400" w:lineRule="exact"/>
        <w:ind w:firstLine="480" w:firstLineChars="200"/>
        <w:rPr>
          <w:rFonts w:ascii="Times New Roman" w:hAnsi="Times New Roman"/>
          <w:bCs/>
          <w:color w:val="auto"/>
          <w:sz w:val="24"/>
          <w:szCs w:val="24"/>
          <w:highlight w:val="none"/>
        </w:rPr>
      </w:pPr>
    </w:p>
    <w:p w14:paraId="22BBBEEF">
      <w:pPr>
        <w:adjustRightInd w:val="0"/>
        <w:snapToGrid w:val="0"/>
        <w:spacing w:line="400" w:lineRule="exact"/>
        <w:ind w:firstLine="480" w:firstLineChars="200"/>
        <w:rPr>
          <w:rFonts w:ascii="Times New Roman" w:hAnsi="Times New Roman"/>
          <w:bCs/>
          <w:color w:val="auto"/>
          <w:sz w:val="24"/>
          <w:szCs w:val="24"/>
          <w:highlight w:val="none"/>
        </w:rPr>
      </w:pPr>
    </w:p>
    <w:p w14:paraId="6D7A185C">
      <w:pPr>
        <w:adjustRightInd w:val="0"/>
        <w:snapToGrid w:val="0"/>
        <w:spacing w:line="400" w:lineRule="exact"/>
        <w:ind w:firstLine="480" w:firstLineChars="200"/>
        <w:rPr>
          <w:rFonts w:ascii="Times New Roman" w:hAnsi="Times New Roman"/>
          <w:bCs/>
          <w:color w:val="auto"/>
          <w:sz w:val="24"/>
          <w:szCs w:val="24"/>
          <w:highlight w:val="none"/>
        </w:rPr>
      </w:pPr>
    </w:p>
    <w:p w14:paraId="425F3A18">
      <w:pPr>
        <w:adjustRightInd w:val="0"/>
        <w:snapToGrid w:val="0"/>
        <w:spacing w:line="400" w:lineRule="exact"/>
        <w:ind w:firstLine="480" w:firstLineChars="200"/>
        <w:rPr>
          <w:rFonts w:ascii="Times New Roman" w:hAnsi="Times New Roman"/>
          <w:bCs/>
          <w:color w:val="auto"/>
          <w:sz w:val="24"/>
          <w:szCs w:val="24"/>
          <w:highlight w:val="none"/>
        </w:rPr>
      </w:pPr>
    </w:p>
    <w:p w14:paraId="3EFE5EC6">
      <w:pPr>
        <w:adjustRightInd w:val="0"/>
        <w:snapToGrid w:val="0"/>
        <w:spacing w:line="400" w:lineRule="exact"/>
        <w:ind w:firstLine="480" w:firstLineChars="200"/>
        <w:rPr>
          <w:rFonts w:ascii="Times New Roman" w:hAnsi="Times New Roman"/>
          <w:bCs/>
          <w:color w:val="auto"/>
          <w:sz w:val="24"/>
          <w:szCs w:val="24"/>
          <w:highlight w:val="none"/>
        </w:rPr>
      </w:pPr>
    </w:p>
    <w:p w14:paraId="4C9959B1">
      <w:pPr>
        <w:adjustRightInd w:val="0"/>
        <w:snapToGrid w:val="0"/>
        <w:spacing w:line="400" w:lineRule="exact"/>
        <w:ind w:firstLine="480" w:firstLineChars="200"/>
        <w:rPr>
          <w:rFonts w:ascii="Times New Roman" w:hAnsi="Times New Roman"/>
          <w:bCs/>
          <w:color w:val="auto"/>
          <w:sz w:val="24"/>
          <w:szCs w:val="24"/>
          <w:highlight w:val="none"/>
        </w:rPr>
      </w:pPr>
    </w:p>
    <w:p w14:paraId="7F9D8EAA">
      <w:pPr>
        <w:adjustRightInd w:val="0"/>
        <w:snapToGrid w:val="0"/>
        <w:spacing w:line="400" w:lineRule="exact"/>
        <w:ind w:firstLine="480" w:firstLineChars="200"/>
        <w:rPr>
          <w:rFonts w:ascii="Times New Roman" w:hAnsi="Times New Roman"/>
          <w:bCs/>
          <w:color w:val="auto"/>
          <w:sz w:val="24"/>
          <w:szCs w:val="24"/>
          <w:highlight w:val="none"/>
        </w:rPr>
      </w:pPr>
    </w:p>
    <w:p w14:paraId="6C0AD5F6">
      <w:pPr>
        <w:adjustRightInd w:val="0"/>
        <w:snapToGrid w:val="0"/>
        <w:spacing w:line="400" w:lineRule="exact"/>
        <w:ind w:firstLine="480" w:firstLineChars="200"/>
        <w:rPr>
          <w:rFonts w:ascii="Times New Roman" w:hAnsi="Times New Roman"/>
          <w:bCs/>
          <w:color w:val="auto"/>
          <w:sz w:val="24"/>
          <w:szCs w:val="24"/>
          <w:highlight w:val="none"/>
        </w:rPr>
      </w:pPr>
    </w:p>
    <w:p w14:paraId="484FDF61">
      <w:pPr>
        <w:adjustRightInd w:val="0"/>
        <w:snapToGrid w:val="0"/>
        <w:spacing w:line="400" w:lineRule="exact"/>
        <w:ind w:firstLine="480" w:firstLineChars="200"/>
        <w:rPr>
          <w:rFonts w:ascii="Times New Roman" w:hAnsi="Times New Roman"/>
          <w:bCs/>
          <w:color w:val="auto"/>
          <w:sz w:val="24"/>
          <w:szCs w:val="24"/>
          <w:highlight w:val="none"/>
        </w:rPr>
      </w:pPr>
    </w:p>
    <w:p w14:paraId="0816AE14">
      <w:pPr>
        <w:adjustRightInd w:val="0"/>
        <w:snapToGrid w:val="0"/>
        <w:spacing w:line="400" w:lineRule="exact"/>
        <w:ind w:firstLine="480" w:firstLineChars="200"/>
        <w:rPr>
          <w:rFonts w:ascii="Times New Roman" w:hAnsi="Times New Roman"/>
          <w:bCs/>
          <w:color w:val="auto"/>
          <w:sz w:val="24"/>
          <w:szCs w:val="24"/>
          <w:highlight w:val="none"/>
        </w:rPr>
      </w:pPr>
    </w:p>
    <w:p w14:paraId="7B993AEC">
      <w:pPr>
        <w:adjustRightInd w:val="0"/>
        <w:snapToGrid w:val="0"/>
        <w:spacing w:line="400" w:lineRule="exact"/>
        <w:ind w:firstLine="480" w:firstLineChars="200"/>
        <w:rPr>
          <w:rFonts w:ascii="Times New Roman" w:hAnsi="Times New Roman"/>
          <w:bCs/>
          <w:color w:val="auto"/>
          <w:sz w:val="24"/>
          <w:szCs w:val="24"/>
          <w:highlight w:val="none"/>
        </w:rPr>
      </w:pPr>
    </w:p>
    <w:p w14:paraId="56B43779">
      <w:pPr>
        <w:adjustRightInd w:val="0"/>
        <w:snapToGrid w:val="0"/>
        <w:spacing w:line="400" w:lineRule="exact"/>
        <w:ind w:firstLine="480" w:firstLineChars="200"/>
        <w:rPr>
          <w:rFonts w:ascii="Times New Roman" w:hAnsi="Times New Roman"/>
          <w:bCs/>
          <w:color w:val="auto"/>
          <w:sz w:val="24"/>
          <w:szCs w:val="24"/>
          <w:highlight w:val="none"/>
        </w:rPr>
      </w:pPr>
    </w:p>
    <w:p w14:paraId="695DE3DF">
      <w:pPr>
        <w:adjustRightInd w:val="0"/>
        <w:snapToGrid w:val="0"/>
        <w:spacing w:line="400" w:lineRule="exact"/>
        <w:ind w:firstLine="480" w:firstLineChars="200"/>
        <w:rPr>
          <w:rFonts w:ascii="Times New Roman" w:hAnsi="Times New Roman"/>
          <w:bCs/>
          <w:color w:val="auto"/>
          <w:sz w:val="24"/>
          <w:szCs w:val="24"/>
          <w:highlight w:val="none"/>
        </w:rPr>
      </w:pPr>
    </w:p>
    <w:p w14:paraId="1F0B9207">
      <w:pPr>
        <w:adjustRightInd w:val="0"/>
        <w:snapToGrid w:val="0"/>
        <w:spacing w:line="400" w:lineRule="exact"/>
        <w:ind w:firstLine="480" w:firstLineChars="200"/>
        <w:rPr>
          <w:rFonts w:ascii="Times New Roman" w:hAnsi="Times New Roman"/>
          <w:bCs/>
          <w:color w:val="auto"/>
          <w:sz w:val="24"/>
          <w:szCs w:val="24"/>
          <w:highlight w:val="none"/>
        </w:rPr>
      </w:pPr>
    </w:p>
    <w:p w14:paraId="40FEE26A">
      <w:pPr>
        <w:adjustRightInd w:val="0"/>
        <w:snapToGrid w:val="0"/>
        <w:spacing w:line="400" w:lineRule="exact"/>
        <w:ind w:firstLine="480" w:firstLineChars="200"/>
        <w:rPr>
          <w:rFonts w:ascii="Times New Roman" w:hAnsi="Times New Roman"/>
          <w:bCs/>
          <w:color w:val="auto"/>
          <w:sz w:val="24"/>
          <w:szCs w:val="24"/>
          <w:highlight w:val="none"/>
        </w:rPr>
      </w:pPr>
    </w:p>
    <w:p w14:paraId="47D6E637">
      <w:pPr>
        <w:adjustRightInd w:val="0"/>
        <w:snapToGrid w:val="0"/>
        <w:spacing w:line="400" w:lineRule="exact"/>
        <w:ind w:firstLine="480" w:firstLineChars="200"/>
        <w:rPr>
          <w:rFonts w:ascii="Times New Roman" w:hAnsi="Times New Roman"/>
          <w:bCs/>
          <w:color w:val="auto"/>
          <w:sz w:val="24"/>
          <w:szCs w:val="24"/>
          <w:highlight w:val="none"/>
        </w:rPr>
      </w:pPr>
    </w:p>
    <w:p w14:paraId="25544836">
      <w:pPr>
        <w:adjustRightInd w:val="0"/>
        <w:snapToGrid w:val="0"/>
        <w:spacing w:line="400" w:lineRule="exact"/>
        <w:ind w:firstLine="480" w:firstLineChars="200"/>
        <w:rPr>
          <w:del w:id="145" w:author="Administrator" w:date="2025-07-21T09:35:33Z"/>
          <w:rFonts w:ascii="Times New Roman" w:hAnsi="Times New Roman"/>
          <w:bCs/>
          <w:color w:val="auto"/>
          <w:sz w:val="24"/>
          <w:szCs w:val="24"/>
          <w:highlight w:val="none"/>
        </w:rPr>
      </w:pPr>
      <w:r>
        <w:rPr>
          <w:rFonts w:ascii="Times New Roman" w:hAnsi="Times New Roman"/>
          <w:bCs/>
          <w:color w:val="auto"/>
          <w:sz w:val="24"/>
          <w:szCs w:val="24"/>
          <w:highlight w:val="none"/>
        </w:rPr>
        <w:t>。</w:t>
      </w:r>
    </w:p>
    <w:p w14:paraId="10C22B10">
      <w:pPr>
        <w:adjustRightInd w:val="0"/>
        <w:snapToGrid w:val="0"/>
        <w:spacing w:line="400" w:lineRule="exact"/>
        <w:ind w:firstLine="480" w:firstLineChars="200"/>
        <w:rPr>
          <w:del w:id="147" w:author="Administrator" w:date="2025-07-21T09:35:31Z"/>
          <w:rFonts w:ascii="黑体" w:hAnsi="华文中宋" w:eastAsia="黑体"/>
          <w:color w:val="auto"/>
          <w:sz w:val="24"/>
          <w:szCs w:val="24"/>
          <w:highlight w:val="none"/>
        </w:rPr>
        <w:pPrChange w:id="146" w:author="Administrator" w:date="2025-07-21T09:35:28Z">
          <w:pPr>
            <w:adjustRightInd w:val="0"/>
            <w:snapToGrid w:val="0"/>
            <w:spacing w:line="400" w:lineRule="exact"/>
          </w:pPr>
        </w:pPrChange>
      </w:pPr>
    </w:p>
    <w:bookmarkEnd w:id="131"/>
    <w:bookmarkEnd w:id="132"/>
    <w:bookmarkEnd w:id="133"/>
    <w:p w14:paraId="140FDAF8">
      <w:pPr>
        <w:keepNext w:val="0"/>
        <w:keepLines w:val="0"/>
        <w:pageBreakBefore w:val="0"/>
        <w:adjustRightInd w:val="0"/>
        <w:snapToGrid w:val="0"/>
        <w:spacing w:line="400" w:lineRule="exact"/>
        <w:ind w:firstLine="883" w:firstLineChars="200"/>
        <w:jc w:val="both"/>
        <w:outlineLvl w:val="9"/>
        <w:rPr>
          <w:b/>
          <w:color w:val="auto"/>
          <w:sz w:val="44"/>
          <w:szCs w:val="44"/>
          <w:highlight w:val="none"/>
        </w:rPr>
        <w:pPrChange w:id="148" w:author="Administrator" w:date="2025-07-21T09:35:35Z">
          <w:pPr>
            <w:keepNext/>
            <w:keepLines/>
            <w:pageBreakBefore/>
            <w:jc w:val="center"/>
            <w:outlineLvl w:val="0"/>
          </w:pPr>
        </w:pPrChange>
      </w:pPr>
      <w:bookmarkStart w:id="140" w:name="_Toc81575170"/>
      <w:bookmarkStart w:id="141" w:name="_Toc9003"/>
      <w:bookmarkStart w:id="142" w:name="_Toc22853"/>
      <w:bookmarkStart w:id="143" w:name="_Toc12937"/>
      <w:bookmarkStart w:id="144" w:name="_Toc19649"/>
      <w:bookmarkStart w:id="145" w:name="_Toc81575207"/>
      <w:r>
        <w:rPr>
          <w:rFonts w:hint="eastAsia"/>
          <w:b/>
          <w:color w:val="auto"/>
          <w:sz w:val="44"/>
          <w:szCs w:val="44"/>
          <w:highlight w:val="none"/>
        </w:rPr>
        <w:t>第六章  投标文件格式</w:t>
      </w:r>
      <w:bookmarkEnd w:id="140"/>
      <w:bookmarkEnd w:id="141"/>
      <w:bookmarkEnd w:id="142"/>
      <w:bookmarkEnd w:id="143"/>
      <w:bookmarkEnd w:id="144"/>
      <w:bookmarkEnd w:id="145"/>
    </w:p>
    <w:p w14:paraId="47607724">
      <w:pPr>
        <w:rPr>
          <w:color w:val="auto"/>
          <w:highlight w:val="none"/>
        </w:rPr>
      </w:pPr>
      <w:bookmarkStart w:id="146" w:name="EB819316f773b24a75aef829f9b72900c0"/>
    </w:p>
    <w:p w14:paraId="011CDB2F">
      <w:pPr>
        <w:rPr>
          <w:rFonts w:ascii="Times New Roman" w:hAnsi="Times New Roman"/>
          <w:b/>
          <w:color w:val="auto"/>
          <w:sz w:val="72"/>
          <w:highlight w:val="none"/>
        </w:rPr>
      </w:pPr>
      <w:bookmarkStart w:id="147" w:name="_Toc15716"/>
    </w:p>
    <w:p w14:paraId="5A6F6F36">
      <w:pPr>
        <w:rPr>
          <w:rFonts w:ascii="Times New Roman" w:hAnsi="Times New Roman"/>
          <w:b/>
          <w:color w:val="auto"/>
          <w:sz w:val="72"/>
          <w:highlight w:val="none"/>
        </w:rPr>
      </w:pPr>
    </w:p>
    <w:p w14:paraId="57FAF0A2">
      <w:pPr>
        <w:rPr>
          <w:rFonts w:ascii="Times New Roman" w:hAnsi="Times New Roman"/>
          <w:b/>
          <w:color w:val="auto"/>
          <w:sz w:val="72"/>
          <w:highlight w:val="none"/>
        </w:rPr>
      </w:pPr>
    </w:p>
    <w:p w14:paraId="48FF6AB8">
      <w:pPr>
        <w:jc w:val="center"/>
        <w:rPr>
          <w:rFonts w:ascii="Times New Roman" w:hAnsi="Times New Roman"/>
          <w:b/>
          <w:color w:val="auto"/>
          <w:sz w:val="72"/>
          <w:highlight w:val="none"/>
        </w:rPr>
      </w:pPr>
      <w:r>
        <w:rPr>
          <w:rFonts w:hint="eastAsia" w:ascii="Times New Roman" w:hAnsi="Times New Roman"/>
          <w:b/>
          <w:color w:val="auto"/>
          <w:sz w:val="72"/>
          <w:highlight w:val="none"/>
        </w:rPr>
        <w:t>投  标  文  件</w:t>
      </w:r>
    </w:p>
    <w:p w14:paraId="1260C2FC">
      <w:pPr>
        <w:jc w:val="center"/>
        <w:rPr>
          <w:rFonts w:ascii="Times New Roman" w:hAnsi="Times New Roman"/>
          <w:b/>
          <w:color w:val="auto"/>
          <w:sz w:val="72"/>
          <w:highlight w:val="none"/>
        </w:rPr>
      </w:pPr>
    </w:p>
    <w:p w14:paraId="1C2CE614">
      <w:pPr>
        <w:jc w:val="center"/>
        <w:rPr>
          <w:rFonts w:ascii="Times New Roman" w:hAnsi="Times New Roman"/>
          <w:b/>
          <w:color w:val="auto"/>
          <w:sz w:val="72"/>
          <w:highlight w:val="none"/>
        </w:rPr>
      </w:pPr>
    </w:p>
    <w:p w14:paraId="383F11F0">
      <w:pPr>
        <w:jc w:val="center"/>
        <w:rPr>
          <w:rFonts w:ascii="Times New Roman" w:hAnsi="Times New Roman"/>
          <w:b/>
          <w:color w:val="auto"/>
          <w:sz w:val="72"/>
          <w:highlight w:val="none"/>
        </w:rPr>
      </w:pPr>
    </w:p>
    <w:p w14:paraId="11543939">
      <w:pPr>
        <w:jc w:val="center"/>
        <w:rPr>
          <w:rFonts w:ascii="Times New Roman" w:hAnsi="Times New Roman"/>
          <w:b/>
          <w:color w:val="auto"/>
          <w:sz w:val="72"/>
          <w:highlight w:val="none"/>
        </w:rPr>
      </w:pPr>
    </w:p>
    <w:p w14:paraId="7B5556F8">
      <w:pPr>
        <w:jc w:val="center"/>
        <w:rPr>
          <w:rFonts w:ascii="Times New Roman" w:hAnsi="Times New Roman"/>
          <w:b/>
          <w:color w:val="auto"/>
          <w:sz w:val="72"/>
          <w:highlight w:val="none"/>
        </w:rPr>
      </w:pPr>
    </w:p>
    <w:p w14:paraId="0B73A7CF">
      <w:pPr>
        <w:jc w:val="center"/>
        <w:rPr>
          <w:rFonts w:ascii="Times New Roman" w:hAnsi="Times New Roman"/>
          <w:b/>
          <w:color w:val="auto"/>
          <w:sz w:val="36"/>
          <w:highlight w:val="none"/>
        </w:rPr>
      </w:pPr>
    </w:p>
    <w:p w14:paraId="4B692AC2">
      <w:pPr>
        <w:jc w:val="center"/>
        <w:rPr>
          <w:rFonts w:ascii="Times New Roman" w:hAnsi="Times New Roman"/>
          <w:b/>
          <w:color w:val="auto"/>
          <w:sz w:val="36"/>
          <w:highlight w:val="none"/>
        </w:rPr>
      </w:pPr>
    </w:p>
    <w:p w14:paraId="241CC71F">
      <w:pPr>
        <w:jc w:val="center"/>
        <w:rPr>
          <w:rFonts w:ascii="Times New Roman" w:hAnsi="Times New Roman"/>
          <w:b/>
          <w:color w:val="auto"/>
          <w:sz w:val="36"/>
          <w:highlight w:val="none"/>
        </w:rPr>
      </w:pPr>
    </w:p>
    <w:p w14:paraId="4AC70C4E">
      <w:pPr>
        <w:ind w:firstLine="1084"/>
        <w:rPr>
          <w:rFonts w:ascii="Times New Roman" w:hAnsi="Times New Roman"/>
          <w:b/>
          <w:color w:val="auto"/>
          <w:sz w:val="36"/>
          <w:highlight w:val="none"/>
        </w:rPr>
      </w:pPr>
      <w:r>
        <w:rPr>
          <w:rFonts w:hint="eastAsia" w:ascii="Times New Roman" w:hAnsi="Times New Roman"/>
          <w:b/>
          <w:color w:val="auto"/>
          <w:sz w:val="36"/>
          <w:highlight w:val="none"/>
        </w:rPr>
        <w:t>项 目 名 称：</w:t>
      </w:r>
      <w:r>
        <w:rPr>
          <w:rFonts w:hint="eastAsia" w:ascii="Times New Roman" w:hAnsi="Times New Roman"/>
          <w:b/>
          <w:color w:val="auto"/>
          <w:sz w:val="36"/>
          <w:highlight w:val="none"/>
          <w:u w:val="single"/>
        </w:rPr>
        <w:t xml:space="preserve">               </w:t>
      </w:r>
    </w:p>
    <w:p w14:paraId="039CCF61">
      <w:pPr>
        <w:ind w:firstLine="1084"/>
        <w:rPr>
          <w:rFonts w:ascii="Times New Roman" w:hAnsi="Times New Roman"/>
          <w:b/>
          <w:color w:val="auto"/>
          <w:sz w:val="36"/>
          <w:highlight w:val="none"/>
          <w:u w:val="single"/>
        </w:rPr>
      </w:pPr>
      <w:r>
        <w:rPr>
          <w:rFonts w:hint="eastAsia" w:ascii="Times New Roman" w:hAnsi="Times New Roman"/>
          <w:b/>
          <w:color w:val="auto"/>
          <w:sz w:val="36"/>
          <w:highlight w:val="none"/>
        </w:rPr>
        <w:t>项 目 编 号：</w:t>
      </w:r>
      <w:r>
        <w:rPr>
          <w:rFonts w:hint="eastAsia" w:ascii="Times New Roman" w:hAnsi="Times New Roman"/>
          <w:b/>
          <w:color w:val="auto"/>
          <w:sz w:val="36"/>
          <w:highlight w:val="none"/>
          <w:u w:val="single"/>
        </w:rPr>
        <w:t xml:space="preserve">               </w:t>
      </w:r>
    </w:p>
    <w:p w14:paraId="7F9A5333">
      <w:pPr>
        <w:rPr>
          <w:rFonts w:ascii="Times New Roman" w:hAnsi="Times New Roman"/>
          <w:b/>
          <w:color w:val="auto"/>
          <w:sz w:val="36"/>
          <w:highlight w:val="none"/>
          <w:u w:val="single"/>
        </w:rPr>
      </w:pPr>
      <w:r>
        <w:rPr>
          <w:rFonts w:hint="eastAsia" w:ascii="Times New Roman" w:hAnsi="Times New Roman"/>
          <w:b/>
          <w:color w:val="auto"/>
          <w:sz w:val="36"/>
          <w:highlight w:val="none"/>
        </w:rPr>
        <w:t xml:space="preserve">      投标人名称 ：</w:t>
      </w:r>
      <w:r>
        <w:rPr>
          <w:rFonts w:hint="eastAsia" w:ascii="Times New Roman" w:hAnsi="Times New Roman"/>
          <w:b/>
          <w:color w:val="auto"/>
          <w:sz w:val="36"/>
          <w:highlight w:val="none"/>
          <w:u w:val="single"/>
        </w:rPr>
        <w:t>（盖CA电子公章）</w:t>
      </w:r>
    </w:p>
    <w:p w14:paraId="6AB21650">
      <w:pPr>
        <w:rPr>
          <w:rFonts w:ascii="Times New Roman" w:hAnsi="Times New Roman"/>
          <w:b/>
          <w:color w:val="auto"/>
          <w:sz w:val="36"/>
          <w:highlight w:val="none"/>
          <w:u w:val="single"/>
        </w:rPr>
      </w:pPr>
      <w:r>
        <w:rPr>
          <w:rFonts w:hint="eastAsia" w:ascii="Times New Roman" w:hAnsi="Times New Roman"/>
          <w:b/>
          <w:color w:val="auto"/>
          <w:sz w:val="36"/>
          <w:highlight w:val="none"/>
        </w:rPr>
        <w:t xml:space="preserve">      日      期 ：</w:t>
      </w:r>
      <w:r>
        <w:rPr>
          <w:rFonts w:hint="eastAsia" w:ascii="Times New Roman" w:hAnsi="Times New Roman"/>
          <w:b/>
          <w:color w:val="auto"/>
          <w:sz w:val="36"/>
          <w:highlight w:val="none"/>
          <w:u w:val="single"/>
        </w:rPr>
        <w:t xml:space="preserve">               </w:t>
      </w:r>
      <w:bookmarkEnd w:id="147"/>
    </w:p>
    <w:p w14:paraId="3CF9154A">
      <w:pPr>
        <w:pStyle w:val="282"/>
        <w:rPr>
          <w:rFonts w:ascii="宋体" w:hAnsi="宋体" w:eastAsia="宋体" w:cs="宋体"/>
          <w:color w:val="auto"/>
          <w:highlight w:val="none"/>
        </w:rPr>
      </w:pPr>
    </w:p>
    <w:p w14:paraId="39FA556B">
      <w:pPr>
        <w:pStyle w:val="282"/>
        <w:rPr>
          <w:rFonts w:ascii="宋体" w:hAnsi="宋体" w:eastAsia="宋体" w:cs="宋体"/>
          <w:color w:val="auto"/>
          <w:highlight w:val="none"/>
        </w:rPr>
      </w:pPr>
    </w:p>
    <w:p w14:paraId="213FCA6F">
      <w:pPr>
        <w:pStyle w:val="282"/>
        <w:rPr>
          <w:rFonts w:ascii="宋体" w:hAnsi="宋体" w:eastAsia="宋体" w:cs="宋体"/>
          <w:color w:val="auto"/>
          <w:highlight w:val="none"/>
        </w:rPr>
      </w:pPr>
    </w:p>
    <w:p w14:paraId="766DF5B0">
      <w:pPr>
        <w:pStyle w:val="282"/>
        <w:rPr>
          <w:rFonts w:ascii="宋体" w:hAnsi="宋体" w:eastAsia="宋体" w:cs="宋体"/>
          <w:color w:val="auto"/>
          <w:highlight w:val="none"/>
        </w:rPr>
      </w:pPr>
    </w:p>
    <w:p w14:paraId="72D50267">
      <w:pPr>
        <w:pStyle w:val="282"/>
        <w:rPr>
          <w:rFonts w:ascii="宋体" w:hAnsi="宋体" w:eastAsia="宋体" w:cs="宋体"/>
          <w:color w:val="auto"/>
          <w:highlight w:val="none"/>
        </w:rPr>
      </w:pPr>
    </w:p>
    <w:p w14:paraId="25955FC2">
      <w:pPr>
        <w:pStyle w:val="282"/>
        <w:rPr>
          <w:rFonts w:ascii="宋体" w:hAnsi="宋体" w:eastAsia="宋体" w:cs="宋体"/>
          <w:color w:val="auto"/>
          <w:highlight w:val="none"/>
        </w:rPr>
      </w:pPr>
    </w:p>
    <w:bookmarkEnd w:id="146"/>
    <w:p w14:paraId="5AFEAA48">
      <w:pPr>
        <w:pStyle w:val="282"/>
        <w:rPr>
          <w:rFonts w:ascii="宋体" w:hAnsi="宋体" w:eastAsia="宋体" w:cs="宋体"/>
          <w:color w:val="auto"/>
          <w:highlight w:val="none"/>
        </w:rPr>
      </w:pPr>
    </w:p>
    <w:p w14:paraId="633D4586">
      <w:pPr>
        <w:pStyle w:val="282"/>
        <w:spacing w:line="360" w:lineRule="auto"/>
        <w:jc w:val="center"/>
        <w:rPr>
          <w:rFonts w:ascii="宋体" w:hAnsi="宋体" w:eastAsia="宋体" w:cs="宋体"/>
          <w:b/>
          <w:bCs/>
          <w:color w:val="auto"/>
          <w:sz w:val="32"/>
          <w:szCs w:val="32"/>
          <w:highlight w:val="none"/>
        </w:rPr>
      </w:pPr>
    </w:p>
    <w:p w14:paraId="1415D01A">
      <w:pPr>
        <w:pStyle w:val="282"/>
        <w:spacing w:line="360" w:lineRule="auto"/>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投标文件目录</w:t>
      </w:r>
    </w:p>
    <w:p w14:paraId="1491B64B">
      <w:pPr>
        <w:pStyle w:val="282"/>
        <w:spacing w:line="360" w:lineRule="auto"/>
        <w:rPr>
          <w:rFonts w:ascii="宋体" w:hAnsi="宋体" w:eastAsia="宋体" w:cs="宋体"/>
          <w:color w:val="auto"/>
          <w:sz w:val="28"/>
          <w:szCs w:val="28"/>
          <w:highlight w:val="none"/>
        </w:rPr>
      </w:pPr>
    </w:p>
    <w:p w14:paraId="6CC69028">
      <w:pPr>
        <w:spacing w:line="360" w:lineRule="auto"/>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一、投标函</w:t>
      </w:r>
    </w:p>
    <w:p w14:paraId="1E34A2CB">
      <w:pPr>
        <w:spacing w:line="360" w:lineRule="auto"/>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二、法人授权书</w:t>
      </w:r>
    </w:p>
    <w:p w14:paraId="43F51A0E">
      <w:pPr>
        <w:spacing w:line="360" w:lineRule="auto"/>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三、开标一览表</w:t>
      </w:r>
    </w:p>
    <w:p w14:paraId="7A72779C">
      <w:pPr>
        <w:spacing w:line="360" w:lineRule="auto"/>
        <w:rPr>
          <w:rFonts w:ascii="Times New Roman" w:hAnsi="Times New Roman"/>
          <w:color w:val="auto"/>
          <w:sz w:val="28"/>
          <w:szCs w:val="28"/>
          <w:highlight w:val="none"/>
        </w:rPr>
      </w:pPr>
      <w:r>
        <w:rPr>
          <w:rFonts w:hint="eastAsia" w:ascii="Times New Roman" w:hAnsi="Times New Roman"/>
          <w:color w:val="auto"/>
          <w:sz w:val="28"/>
          <w:szCs w:val="28"/>
          <w:highlight w:val="none"/>
        </w:rPr>
        <w:t>四、分项报价表</w:t>
      </w:r>
    </w:p>
    <w:p w14:paraId="48E56F4E">
      <w:pPr>
        <w:spacing w:line="360" w:lineRule="auto"/>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五、中小企业或残疾人福利性单位声明函</w:t>
      </w:r>
    </w:p>
    <w:p w14:paraId="052351F0">
      <w:pPr>
        <w:spacing w:line="360" w:lineRule="auto"/>
        <w:rPr>
          <w:rFonts w:ascii="Times New Roman" w:hAnsi="Times New Roman"/>
          <w:color w:val="auto"/>
          <w:sz w:val="28"/>
          <w:szCs w:val="28"/>
          <w:highlight w:val="none"/>
        </w:rPr>
      </w:pPr>
      <w:r>
        <w:rPr>
          <w:rFonts w:hint="eastAsia" w:ascii="Times New Roman" w:hAnsi="Times New Roman"/>
          <w:color w:val="auto"/>
          <w:sz w:val="28"/>
          <w:szCs w:val="28"/>
          <w:highlight w:val="none"/>
        </w:rPr>
        <w:t>六、项目组人员</w:t>
      </w:r>
    </w:p>
    <w:p w14:paraId="64699084">
      <w:pPr>
        <w:spacing w:line="360" w:lineRule="auto"/>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七、企业业绩</w:t>
      </w:r>
    </w:p>
    <w:p w14:paraId="42F10D7A">
      <w:pPr>
        <w:spacing w:line="360" w:lineRule="auto"/>
        <w:rPr>
          <w:rFonts w:ascii="宋体" w:hAnsi="宋体" w:cs="宋体"/>
          <w:color w:val="auto"/>
          <w:sz w:val="28"/>
          <w:szCs w:val="28"/>
          <w:highlight w:val="none"/>
        </w:rPr>
      </w:pPr>
      <w:r>
        <w:rPr>
          <w:rFonts w:hint="eastAsia" w:ascii="Times New Roman" w:hAnsi="Times New Roman"/>
          <w:color w:val="auto"/>
          <w:sz w:val="28"/>
          <w:szCs w:val="28"/>
          <w:highlight w:val="none"/>
        </w:rPr>
        <w:t>八、投标所需其他材料</w:t>
      </w:r>
    </w:p>
    <w:p w14:paraId="773AE937">
      <w:pPr>
        <w:rPr>
          <w:color w:val="auto"/>
          <w:highlight w:val="none"/>
        </w:rPr>
      </w:pPr>
      <w:bookmarkStart w:id="148" w:name="_Toc26005"/>
      <w:bookmarkStart w:id="149" w:name="_Toc20577"/>
    </w:p>
    <w:p w14:paraId="4917ED1F">
      <w:pPr>
        <w:rPr>
          <w:color w:val="auto"/>
          <w:highlight w:val="none"/>
        </w:rPr>
      </w:pPr>
    </w:p>
    <w:p w14:paraId="62F4A5E1">
      <w:pPr>
        <w:rPr>
          <w:color w:val="auto"/>
          <w:highlight w:val="none"/>
        </w:rPr>
      </w:pPr>
    </w:p>
    <w:p w14:paraId="481D05E5">
      <w:pPr>
        <w:rPr>
          <w:color w:val="auto"/>
          <w:highlight w:val="none"/>
        </w:rPr>
      </w:pPr>
    </w:p>
    <w:p w14:paraId="012EAF9E">
      <w:pPr>
        <w:rPr>
          <w:color w:val="auto"/>
          <w:highlight w:val="none"/>
        </w:rPr>
      </w:pPr>
    </w:p>
    <w:p w14:paraId="0D4B9865">
      <w:pPr>
        <w:rPr>
          <w:color w:val="auto"/>
          <w:highlight w:val="none"/>
        </w:rPr>
      </w:pPr>
    </w:p>
    <w:p w14:paraId="41946397">
      <w:pPr>
        <w:rPr>
          <w:color w:val="auto"/>
          <w:highlight w:val="none"/>
        </w:rPr>
      </w:pPr>
    </w:p>
    <w:p w14:paraId="799D0503">
      <w:pPr>
        <w:rPr>
          <w:color w:val="auto"/>
          <w:highlight w:val="none"/>
        </w:rPr>
      </w:pPr>
    </w:p>
    <w:p w14:paraId="43D16D17">
      <w:pPr>
        <w:rPr>
          <w:color w:val="auto"/>
          <w:highlight w:val="none"/>
        </w:rPr>
      </w:pPr>
    </w:p>
    <w:p w14:paraId="05B27483">
      <w:pPr>
        <w:rPr>
          <w:color w:val="auto"/>
          <w:highlight w:val="none"/>
        </w:rPr>
      </w:pPr>
    </w:p>
    <w:p w14:paraId="3BCB1D25">
      <w:pPr>
        <w:rPr>
          <w:color w:val="auto"/>
          <w:highlight w:val="none"/>
        </w:rPr>
      </w:pPr>
    </w:p>
    <w:p w14:paraId="260DE5DD">
      <w:pPr>
        <w:rPr>
          <w:color w:val="auto"/>
          <w:highlight w:val="none"/>
        </w:rPr>
      </w:pPr>
    </w:p>
    <w:p w14:paraId="6D9484E5">
      <w:pPr>
        <w:rPr>
          <w:color w:val="auto"/>
          <w:highlight w:val="none"/>
        </w:rPr>
      </w:pPr>
    </w:p>
    <w:p w14:paraId="0E0A7C31">
      <w:pPr>
        <w:rPr>
          <w:color w:val="auto"/>
          <w:highlight w:val="none"/>
        </w:rPr>
      </w:pPr>
    </w:p>
    <w:p w14:paraId="509AAF8A">
      <w:pPr>
        <w:rPr>
          <w:color w:val="auto"/>
          <w:highlight w:val="none"/>
        </w:rPr>
      </w:pPr>
    </w:p>
    <w:p w14:paraId="28C73F06">
      <w:pPr>
        <w:rPr>
          <w:color w:val="auto"/>
          <w:highlight w:val="none"/>
        </w:rPr>
      </w:pPr>
    </w:p>
    <w:p w14:paraId="093B716B">
      <w:pPr>
        <w:rPr>
          <w:color w:val="auto"/>
          <w:highlight w:val="none"/>
        </w:rPr>
      </w:pPr>
    </w:p>
    <w:p w14:paraId="120F7ECC">
      <w:pPr>
        <w:rPr>
          <w:color w:val="auto"/>
          <w:highlight w:val="none"/>
        </w:rPr>
      </w:pPr>
    </w:p>
    <w:p w14:paraId="34CC538D">
      <w:pPr>
        <w:rPr>
          <w:color w:val="auto"/>
          <w:highlight w:val="none"/>
        </w:rPr>
      </w:pPr>
    </w:p>
    <w:p w14:paraId="1D1A42E8">
      <w:pPr>
        <w:rPr>
          <w:color w:val="auto"/>
          <w:highlight w:val="none"/>
        </w:rPr>
      </w:pPr>
    </w:p>
    <w:p w14:paraId="54D806E2">
      <w:pPr>
        <w:rPr>
          <w:color w:val="auto"/>
          <w:highlight w:val="none"/>
        </w:rPr>
      </w:pPr>
    </w:p>
    <w:p w14:paraId="78607465">
      <w:pPr>
        <w:rPr>
          <w:color w:val="auto"/>
          <w:highlight w:val="none"/>
        </w:rPr>
      </w:pPr>
    </w:p>
    <w:p w14:paraId="3ACCAFB4">
      <w:pPr>
        <w:rPr>
          <w:color w:val="auto"/>
          <w:highlight w:val="none"/>
        </w:rPr>
      </w:pPr>
    </w:p>
    <w:p w14:paraId="008610D0">
      <w:pPr>
        <w:rPr>
          <w:color w:val="auto"/>
          <w:highlight w:val="none"/>
        </w:rPr>
      </w:pPr>
    </w:p>
    <w:p w14:paraId="5EB6678C">
      <w:pPr>
        <w:rPr>
          <w:color w:val="auto"/>
          <w:highlight w:val="none"/>
        </w:rPr>
      </w:pPr>
    </w:p>
    <w:p w14:paraId="14A81F13">
      <w:pPr>
        <w:rPr>
          <w:color w:val="auto"/>
          <w:highlight w:val="none"/>
        </w:rPr>
      </w:pPr>
    </w:p>
    <w:p w14:paraId="76F92B14">
      <w:pPr>
        <w:rPr>
          <w:color w:val="auto"/>
          <w:highlight w:val="none"/>
        </w:rPr>
      </w:pPr>
    </w:p>
    <w:p w14:paraId="69CF286D">
      <w:pPr>
        <w:rPr>
          <w:color w:val="auto"/>
          <w:highlight w:val="none"/>
        </w:rPr>
      </w:pPr>
    </w:p>
    <w:p w14:paraId="2AE03DC1">
      <w:pPr>
        <w:rPr>
          <w:rFonts w:hint="eastAsia"/>
          <w:color w:val="auto"/>
          <w:highlight w:val="none"/>
        </w:rPr>
      </w:pPr>
    </w:p>
    <w:p w14:paraId="7B129E9B">
      <w:pPr>
        <w:pStyle w:val="292"/>
        <w:outlineLvl w:val="1"/>
        <w:rPr>
          <w:b w:val="0"/>
          <w:bCs/>
          <w:color w:val="auto"/>
          <w:highlight w:val="none"/>
        </w:rPr>
      </w:pPr>
      <w:bookmarkStart w:id="150" w:name="_Toc8978"/>
      <w:r>
        <w:rPr>
          <w:rFonts w:hint="eastAsia"/>
          <w:b w:val="0"/>
          <w:bCs/>
          <w:color w:val="auto"/>
          <w:highlight w:val="none"/>
        </w:rPr>
        <w:br w:type="page"/>
      </w:r>
      <w:r>
        <w:rPr>
          <w:rFonts w:hint="eastAsia"/>
          <w:b w:val="0"/>
          <w:bCs/>
          <w:color w:val="auto"/>
          <w:highlight w:val="none"/>
        </w:rPr>
        <w:t>一</w:t>
      </w:r>
      <w:r>
        <w:rPr>
          <w:b w:val="0"/>
          <w:bCs/>
          <w:color w:val="auto"/>
          <w:highlight w:val="none"/>
        </w:rPr>
        <w:t>、投标函</w:t>
      </w:r>
      <w:bookmarkEnd w:id="148"/>
      <w:bookmarkEnd w:id="149"/>
      <w:bookmarkEnd w:id="150"/>
    </w:p>
    <w:p w14:paraId="3D1C8596">
      <w:pPr>
        <w:pStyle w:val="293"/>
        <w:jc w:val="center"/>
        <w:rPr>
          <w:rFonts w:ascii="方正小标宋_GBK" w:eastAsia="方正小标宋_GBK"/>
          <w:bCs/>
          <w:color w:val="auto"/>
          <w:sz w:val="32"/>
          <w:szCs w:val="32"/>
          <w:highlight w:val="none"/>
        </w:rPr>
      </w:pPr>
    </w:p>
    <w:p w14:paraId="08ECDC7E">
      <w:pPr>
        <w:pStyle w:val="293"/>
        <w:jc w:val="center"/>
        <w:rPr>
          <w:rFonts w:hint="eastAsia"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投标函</w:t>
      </w:r>
    </w:p>
    <w:p w14:paraId="2AF8CC49">
      <w:pPr>
        <w:pStyle w:val="293"/>
        <w:spacing w:line="500" w:lineRule="exact"/>
        <w:jc w:val="left"/>
        <w:rPr>
          <w:rFonts w:ascii="宋体" w:hAnsi="宋体"/>
          <w:color w:val="auto"/>
          <w:sz w:val="24"/>
          <w:szCs w:val="24"/>
          <w:highlight w:val="none"/>
          <w:u w:val="single"/>
        </w:rPr>
      </w:pPr>
      <w:r>
        <w:rPr>
          <w:rFonts w:hint="eastAsia" w:ascii="宋体" w:hAnsi="宋体"/>
          <w:color w:val="auto"/>
          <w:sz w:val="24"/>
          <w:szCs w:val="24"/>
          <w:highlight w:val="none"/>
          <w:u w:val="single"/>
        </w:rPr>
        <w:t>（采购单位名称）：</w:t>
      </w:r>
    </w:p>
    <w:p w14:paraId="60E4EDF6">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根据已收到的项目编号为</w:t>
      </w:r>
      <w:r>
        <w:rPr>
          <w:rFonts w:hint="eastAsia" w:ascii="宋体" w:hAnsi="宋体"/>
          <w:color w:val="auto"/>
          <w:sz w:val="24"/>
          <w:szCs w:val="24"/>
          <w:highlight w:val="none"/>
          <w:u w:val="single"/>
        </w:rPr>
        <w:t>（项目编号）</w:t>
      </w:r>
      <w:r>
        <w:rPr>
          <w:rFonts w:hint="eastAsia" w:ascii="宋体" w:hAnsi="宋体"/>
          <w:color w:val="auto"/>
          <w:sz w:val="24"/>
          <w:szCs w:val="24"/>
          <w:highlight w:val="none"/>
        </w:rPr>
        <w:t>的</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的招标文件，我方在参加本项目招投标活动中，特作出如下承诺：</w:t>
      </w:r>
    </w:p>
    <w:p w14:paraId="13BF4CD0">
      <w:pPr>
        <w:pStyle w:val="293"/>
        <w:spacing w:line="500" w:lineRule="exact"/>
        <w:ind w:firstLine="480"/>
        <w:jc w:val="left"/>
        <w:rPr>
          <w:rFonts w:ascii="宋体" w:hAnsi="宋体"/>
          <w:color w:val="auto"/>
          <w:sz w:val="24"/>
          <w:highlight w:val="none"/>
        </w:rPr>
      </w:pPr>
      <w:r>
        <w:rPr>
          <w:rFonts w:hint="eastAsia" w:ascii="宋体" w:hAnsi="宋体"/>
          <w:color w:val="auto"/>
          <w:sz w:val="24"/>
          <w:szCs w:val="24"/>
          <w:highlight w:val="none"/>
        </w:rPr>
        <w:t>一、我方</w:t>
      </w:r>
      <w:r>
        <w:rPr>
          <w:rFonts w:ascii="宋体" w:hAnsi="宋体"/>
          <w:color w:val="auto"/>
          <w:sz w:val="24"/>
          <w:highlight w:val="none"/>
        </w:rPr>
        <w:t>具备《中华人民共和国政府采购法》第二十二条第一款规定的6项条件；</w:t>
      </w:r>
    </w:p>
    <w:p w14:paraId="3D7F40C0">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二、我方在参加政府采购活动前三年内（自本项目开标时间之日起计算），在经营活动中没有重大违法记录（指因违法经营受到刑事处罚或者责令停产停业、吊销许可证或者执照、较大数额罚款等行政处罚）。</w:t>
      </w:r>
    </w:p>
    <w:p w14:paraId="56E6C14C">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三、我方按招标文件要求提交投标文件，响应招标文件规定的投标有效期；</w:t>
      </w:r>
    </w:p>
    <w:p w14:paraId="2CCCD412">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四、如果我方的投标文件被接受，我方将</w:t>
      </w:r>
      <w:r>
        <w:rPr>
          <w:rFonts w:hint="eastAsia" w:ascii="宋体" w:hAnsi="宋体"/>
          <w:color w:val="auto"/>
          <w:sz w:val="24"/>
          <w:szCs w:val="24"/>
          <w:highlight w:val="none"/>
          <w:lang w:eastAsia="zh-CN"/>
        </w:rPr>
        <w:t>按照</w:t>
      </w:r>
      <w:r>
        <w:rPr>
          <w:rFonts w:hint="eastAsia" w:ascii="宋体" w:hAnsi="宋体"/>
          <w:color w:val="auto"/>
          <w:sz w:val="24"/>
          <w:szCs w:val="24"/>
          <w:highlight w:val="none"/>
        </w:rPr>
        <w:t>《中华人民共和国民法典（第三编合同）》及其他有关法律、法规的规定，按期、按质、按量交付采购单位，全面做到履约守信；</w:t>
      </w:r>
    </w:p>
    <w:p w14:paraId="406A590E">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五、我方若违背本声明及承诺约定，经查实，自愿接受采购人及相关主管部门相应的规定处理，并依法承担相应的法律责任。</w:t>
      </w:r>
    </w:p>
    <w:p w14:paraId="37DC7952">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六、我方同意采购人、采购代理机构将本</w:t>
      </w:r>
      <w:r>
        <w:rPr>
          <w:rFonts w:hint="eastAsia" w:ascii="宋体" w:hAnsi="宋体"/>
          <w:color w:val="auto"/>
          <w:sz w:val="24"/>
          <w:szCs w:val="24"/>
          <w:highlight w:val="none"/>
          <w:lang w:val="en-US" w:eastAsia="zh-CN"/>
        </w:rPr>
        <w:t>函</w:t>
      </w:r>
      <w:r>
        <w:rPr>
          <w:rFonts w:hint="eastAsia" w:ascii="宋体" w:hAnsi="宋体"/>
          <w:color w:val="auto"/>
          <w:sz w:val="24"/>
          <w:szCs w:val="24"/>
          <w:highlight w:val="none"/>
        </w:rPr>
        <w:t>上网公开。</w:t>
      </w:r>
    </w:p>
    <w:p w14:paraId="62AA4E68">
      <w:pPr>
        <w:pStyle w:val="293"/>
        <w:spacing w:line="500" w:lineRule="exact"/>
        <w:ind w:firstLine="480"/>
        <w:jc w:val="left"/>
        <w:rPr>
          <w:rFonts w:ascii="方正仿宋_GBK" w:eastAsia="方正仿宋_GBK"/>
          <w:color w:val="auto"/>
          <w:sz w:val="24"/>
          <w:szCs w:val="24"/>
          <w:highlight w:val="none"/>
        </w:rPr>
      </w:pPr>
    </w:p>
    <w:p w14:paraId="4F88BC8F">
      <w:pPr>
        <w:pStyle w:val="293"/>
        <w:spacing w:line="500" w:lineRule="exact"/>
        <w:jc w:val="left"/>
        <w:rPr>
          <w:rFonts w:ascii="宋体" w:hAnsi="宋体"/>
          <w:color w:val="auto"/>
          <w:sz w:val="24"/>
          <w:szCs w:val="24"/>
          <w:highlight w:val="none"/>
        </w:rPr>
      </w:pPr>
    </w:p>
    <w:p w14:paraId="0A725FB7">
      <w:pPr>
        <w:pStyle w:val="293"/>
        <w:spacing w:line="500" w:lineRule="exact"/>
        <w:ind w:firstLine="480"/>
        <w:jc w:val="left"/>
        <w:rPr>
          <w:rFonts w:ascii="宋体" w:hAnsi="宋体"/>
          <w:color w:val="auto"/>
          <w:sz w:val="24"/>
          <w:szCs w:val="24"/>
          <w:highlight w:val="none"/>
        </w:rPr>
      </w:pPr>
      <w:r>
        <w:rPr>
          <w:rFonts w:hint="eastAsia" w:ascii="宋体" w:hAnsi="宋体"/>
          <w:color w:val="auto"/>
          <w:sz w:val="24"/>
          <w:szCs w:val="24"/>
          <w:highlight w:val="none"/>
        </w:rPr>
        <w:t xml:space="preserve">投标人名称：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（盖CA电子公章）</w:t>
      </w:r>
    </w:p>
    <w:p w14:paraId="45FC52A0">
      <w:pPr>
        <w:pStyle w:val="293"/>
        <w:ind w:firstLine="480"/>
        <w:rPr>
          <w:rFonts w:ascii="宋体" w:hAnsi="宋体"/>
          <w:color w:val="auto"/>
          <w:sz w:val="24"/>
          <w:szCs w:val="24"/>
          <w:highlight w:val="none"/>
        </w:rPr>
      </w:pPr>
    </w:p>
    <w:p w14:paraId="212C560E">
      <w:pPr>
        <w:pStyle w:val="293"/>
        <w:ind w:firstLine="480"/>
        <w:rPr>
          <w:rFonts w:ascii="宋体" w:hAnsi="宋体"/>
          <w:color w:val="auto"/>
          <w:highlight w:val="none"/>
        </w:rPr>
      </w:pPr>
      <w:r>
        <w:rPr>
          <w:rFonts w:hint="eastAsia" w:ascii="宋体" w:hAnsi="宋体"/>
          <w:color w:val="auto"/>
          <w:sz w:val="24"/>
          <w:szCs w:val="24"/>
          <w:highlight w:val="none"/>
        </w:rPr>
        <w:t>日期：    年    月   日</w:t>
      </w:r>
    </w:p>
    <w:p w14:paraId="568EECAC">
      <w:pPr>
        <w:rPr>
          <w:color w:val="auto"/>
          <w:highlight w:val="none"/>
        </w:rPr>
      </w:pPr>
    </w:p>
    <w:p w14:paraId="5DF37936">
      <w:pPr>
        <w:rPr>
          <w:color w:val="auto"/>
          <w:highlight w:val="none"/>
        </w:rPr>
      </w:pPr>
    </w:p>
    <w:p w14:paraId="2EF86C04">
      <w:pPr>
        <w:rPr>
          <w:color w:val="auto"/>
          <w:highlight w:val="none"/>
        </w:rPr>
      </w:pPr>
    </w:p>
    <w:p w14:paraId="72ED5EA3">
      <w:pPr>
        <w:rPr>
          <w:color w:val="auto"/>
          <w:highlight w:val="none"/>
        </w:rPr>
      </w:pPr>
    </w:p>
    <w:p w14:paraId="0C04C1D6">
      <w:pPr>
        <w:rPr>
          <w:color w:val="auto"/>
          <w:highlight w:val="none"/>
        </w:rPr>
      </w:pPr>
    </w:p>
    <w:p w14:paraId="4F6A7761">
      <w:pPr>
        <w:rPr>
          <w:color w:val="auto"/>
          <w:highlight w:val="none"/>
        </w:rPr>
      </w:pPr>
    </w:p>
    <w:p w14:paraId="470C3552">
      <w:pPr>
        <w:rPr>
          <w:color w:val="auto"/>
          <w:highlight w:val="none"/>
        </w:rPr>
      </w:pPr>
    </w:p>
    <w:p w14:paraId="155206FB">
      <w:pPr>
        <w:rPr>
          <w:color w:val="auto"/>
          <w:highlight w:val="none"/>
        </w:rPr>
      </w:pPr>
    </w:p>
    <w:p w14:paraId="55A543DB">
      <w:pPr>
        <w:rPr>
          <w:color w:val="auto"/>
          <w:highlight w:val="none"/>
        </w:rPr>
      </w:pPr>
    </w:p>
    <w:p w14:paraId="0313FD01">
      <w:pPr>
        <w:rPr>
          <w:color w:val="auto"/>
          <w:highlight w:val="none"/>
        </w:rPr>
      </w:pPr>
    </w:p>
    <w:p w14:paraId="0D1B2707">
      <w:pPr>
        <w:rPr>
          <w:color w:val="auto"/>
          <w:highlight w:val="none"/>
        </w:rPr>
      </w:pPr>
    </w:p>
    <w:p w14:paraId="182D876E">
      <w:pPr>
        <w:rPr>
          <w:color w:val="auto"/>
          <w:highlight w:val="none"/>
        </w:rPr>
      </w:pPr>
    </w:p>
    <w:p w14:paraId="456B892B">
      <w:pPr>
        <w:rPr>
          <w:color w:val="auto"/>
          <w:highlight w:val="none"/>
        </w:rPr>
      </w:pPr>
    </w:p>
    <w:p w14:paraId="67C830BE">
      <w:pPr>
        <w:rPr>
          <w:rFonts w:hint="eastAsia"/>
          <w:color w:val="auto"/>
          <w:highlight w:val="none"/>
        </w:rPr>
      </w:pPr>
    </w:p>
    <w:p w14:paraId="2943F011">
      <w:pPr>
        <w:rPr>
          <w:rFonts w:hint="eastAsia"/>
          <w:color w:val="auto"/>
          <w:highlight w:val="none"/>
        </w:rPr>
      </w:pPr>
    </w:p>
    <w:p w14:paraId="50D18249">
      <w:pPr>
        <w:pStyle w:val="292"/>
        <w:outlineLvl w:val="1"/>
        <w:rPr>
          <w:rFonts w:hint="eastAsia"/>
          <w:b w:val="0"/>
          <w:bCs/>
          <w:color w:val="auto"/>
          <w:highlight w:val="none"/>
        </w:rPr>
      </w:pPr>
      <w:bookmarkStart w:id="151" w:name="_Toc15099"/>
      <w:r>
        <w:rPr>
          <w:rFonts w:hint="eastAsia"/>
          <w:b w:val="0"/>
          <w:bCs/>
          <w:color w:val="auto"/>
          <w:highlight w:val="none"/>
        </w:rPr>
        <w:t>二、投标人资质</w:t>
      </w:r>
      <w:bookmarkEnd w:id="151"/>
    </w:p>
    <w:p w14:paraId="166A577C">
      <w:pPr>
        <w:rPr>
          <w:rFonts w:hint="eastAsia"/>
          <w:color w:val="auto"/>
          <w:highlight w:val="none"/>
        </w:rPr>
      </w:pPr>
      <w:r>
        <w:rPr>
          <w:rFonts w:hint="eastAsia"/>
          <w:color w:val="auto"/>
          <w:highlight w:val="none"/>
        </w:rPr>
        <w:t>按招标文件要求提供相应资质证书</w:t>
      </w:r>
    </w:p>
    <w:p w14:paraId="6422F32A">
      <w:pPr>
        <w:outlineLvl w:val="1"/>
        <w:rPr>
          <w:color w:val="auto"/>
          <w:highlight w:val="none"/>
        </w:rPr>
      </w:pPr>
      <w:r>
        <w:rPr>
          <w:rFonts w:hint="eastAsia"/>
          <w:color w:val="auto"/>
          <w:highlight w:val="none"/>
        </w:rPr>
        <w:br w:type="page"/>
      </w:r>
      <w:bookmarkStart w:id="152" w:name="_Toc29506"/>
      <w:bookmarkStart w:id="153" w:name="_Toc3680"/>
      <w:bookmarkStart w:id="154" w:name="_Toc27409"/>
      <w:r>
        <w:rPr>
          <w:rFonts w:hint="eastAsia" w:ascii="黑体" w:hAnsi="黑体" w:eastAsia="黑体" w:cs="黑体"/>
          <w:bCs/>
          <w:color w:val="auto"/>
          <w:sz w:val="32"/>
          <w:szCs w:val="24"/>
          <w:highlight w:val="none"/>
        </w:rPr>
        <w:t>三、</w:t>
      </w:r>
      <w:bookmarkEnd w:id="152"/>
      <w:bookmarkEnd w:id="153"/>
      <w:r>
        <w:rPr>
          <w:rFonts w:hint="eastAsia" w:ascii="黑体" w:hAnsi="黑体" w:eastAsia="黑体" w:cs="黑体"/>
          <w:bCs/>
          <w:color w:val="auto"/>
          <w:sz w:val="32"/>
          <w:szCs w:val="24"/>
          <w:highlight w:val="none"/>
        </w:rPr>
        <w:t>法人授权书</w:t>
      </w:r>
      <w:bookmarkEnd w:id="154"/>
    </w:p>
    <w:p w14:paraId="319AB840">
      <w:pPr>
        <w:pStyle w:val="293"/>
        <w:jc w:val="center"/>
        <w:rPr>
          <w:rFonts w:ascii="方正小标宋_GBK" w:eastAsia="方正小标宋_GBK"/>
          <w:bCs/>
          <w:color w:val="auto"/>
          <w:sz w:val="32"/>
          <w:szCs w:val="32"/>
          <w:highlight w:val="none"/>
        </w:rPr>
      </w:pPr>
      <w:bookmarkStart w:id="155" w:name="OLE_LINK6"/>
      <w:r>
        <w:rPr>
          <w:rFonts w:hint="eastAsia" w:ascii="方正小标宋_GBK" w:eastAsia="方正小标宋_GBK"/>
          <w:bCs/>
          <w:color w:val="auto"/>
          <w:sz w:val="32"/>
          <w:szCs w:val="32"/>
          <w:highlight w:val="none"/>
        </w:rPr>
        <w:t>法人授权书</w:t>
      </w:r>
    </w:p>
    <w:bookmarkEnd w:id="155"/>
    <w:p w14:paraId="24B80259">
      <w:pPr>
        <w:pStyle w:val="413"/>
        <w:spacing w:line="480" w:lineRule="exact"/>
        <w:ind w:firstLine="482"/>
        <w:rPr>
          <w:rFonts w:hint="eastAsia" w:ascii="宋体" w:hAnsi="宋体"/>
          <w:color w:val="auto"/>
          <w:sz w:val="24"/>
          <w:szCs w:val="24"/>
          <w:highlight w:val="none"/>
        </w:rPr>
      </w:pPr>
      <w:r>
        <w:rPr>
          <w:rFonts w:hint="eastAsia" w:ascii="宋体" w:hAnsi="宋体"/>
          <w:color w:val="auto"/>
          <w:sz w:val="24"/>
          <w:szCs w:val="24"/>
          <w:highlight w:val="none"/>
        </w:rPr>
        <w:t>本授权书声明：____________（投标人名称）授权________________（被授权人的姓名）为我方就</w:t>
      </w:r>
      <w:r>
        <w:rPr>
          <w:rFonts w:hint="eastAsia" w:ascii="宋体" w:hAnsi="宋体"/>
          <w:color w:val="auto"/>
          <w:sz w:val="24"/>
          <w:szCs w:val="24"/>
          <w:highlight w:val="none"/>
          <w:u w:val="single"/>
        </w:rPr>
        <w:t>（项目编号）</w:t>
      </w:r>
      <w:r>
        <w:rPr>
          <w:rFonts w:hint="eastAsia" w:ascii="宋体" w:hAnsi="宋体"/>
          <w:color w:val="auto"/>
          <w:sz w:val="24"/>
          <w:szCs w:val="24"/>
          <w:highlight w:val="none"/>
        </w:rPr>
        <w:t>号</w:t>
      </w:r>
      <w:r>
        <w:rPr>
          <w:rFonts w:hint="eastAsia" w:ascii="宋体" w:hAnsi="宋体"/>
          <w:color w:val="auto"/>
          <w:sz w:val="24"/>
          <w:szCs w:val="24"/>
          <w:highlight w:val="none"/>
          <w:u w:val="single"/>
        </w:rPr>
        <w:t xml:space="preserve">          （项目名称）           项目</w:t>
      </w:r>
      <w:r>
        <w:rPr>
          <w:rFonts w:hint="eastAsia" w:ascii="宋体" w:hAnsi="宋体"/>
          <w:color w:val="auto"/>
          <w:sz w:val="24"/>
          <w:szCs w:val="24"/>
          <w:highlight w:val="none"/>
        </w:rPr>
        <w:t>采购活动的合法代理人，以本单位名义全权处理一切与该项目采购有关的事务。</w:t>
      </w:r>
    </w:p>
    <w:p w14:paraId="2100DB0B">
      <w:pPr>
        <w:pStyle w:val="413"/>
        <w:spacing w:line="480" w:lineRule="exact"/>
        <w:ind w:firstLine="482"/>
        <w:rPr>
          <w:rFonts w:ascii="宋体" w:hAnsi="宋体"/>
          <w:color w:val="auto"/>
          <w:sz w:val="24"/>
          <w:szCs w:val="24"/>
          <w:highlight w:val="none"/>
        </w:rPr>
      </w:pPr>
      <w:r>
        <w:rPr>
          <w:rFonts w:hint="eastAsia" w:ascii="宋体" w:hAnsi="宋体"/>
          <w:color w:val="auto"/>
          <w:sz w:val="24"/>
          <w:szCs w:val="24"/>
          <w:highlight w:val="none"/>
        </w:rPr>
        <w:t>本授权书于______年____月____日起生效，特此声明。</w:t>
      </w:r>
    </w:p>
    <w:p w14:paraId="3FC9FB90">
      <w:pPr>
        <w:pStyle w:val="413"/>
        <w:spacing w:line="480" w:lineRule="exact"/>
        <w:ind w:firstLine="482"/>
        <w:rPr>
          <w:color w:val="auto"/>
          <w:sz w:val="24"/>
          <w:szCs w:val="24"/>
          <w:highlight w:val="none"/>
          <w:u w:val="single"/>
        </w:rPr>
      </w:pPr>
      <w:r>
        <w:rPr>
          <w:rFonts w:hint="eastAsia"/>
          <w:color w:val="auto"/>
          <w:sz w:val="24"/>
          <w:szCs w:val="24"/>
          <w:highlight w:val="none"/>
        </w:rPr>
        <w:t>被授权人身份证号码：</w:t>
      </w:r>
      <w:r>
        <w:rPr>
          <w:rFonts w:hint="eastAsia"/>
          <w:color w:val="auto"/>
          <w:sz w:val="24"/>
          <w:szCs w:val="24"/>
          <w:highlight w:val="none"/>
          <w:u w:val="single"/>
        </w:rPr>
        <w:t xml:space="preserve">                             </w:t>
      </w:r>
    </w:p>
    <w:p w14:paraId="7806D501">
      <w:pPr>
        <w:pStyle w:val="413"/>
        <w:spacing w:line="480" w:lineRule="exact"/>
        <w:ind w:firstLine="482"/>
        <w:rPr>
          <w:rFonts w:ascii="宋体" w:hAnsi="宋体"/>
          <w:color w:val="auto"/>
          <w:sz w:val="24"/>
          <w:szCs w:val="24"/>
          <w:highlight w:val="none"/>
        </w:rPr>
      </w:pPr>
      <w:r>
        <w:rPr>
          <w:rFonts w:hint="eastAsia"/>
          <w:color w:val="auto"/>
          <w:sz w:val="24"/>
          <w:szCs w:val="24"/>
          <w:highlight w:val="none"/>
        </w:rPr>
        <w:t>被授权人联系电话：（手机）</w:t>
      </w:r>
      <w:r>
        <w:rPr>
          <w:rFonts w:hint="eastAsia"/>
          <w:color w:val="auto"/>
          <w:sz w:val="24"/>
          <w:szCs w:val="24"/>
          <w:highlight w:val="none"/>
          <w:u w:val="single"/>
        </w:rPr>
        <w:t xml:space="preserve">                          </w:t>
      </w:r>
    </w:p>
    <w:p w14:paraId="6C9DF96B">
      <w:pPr>
        <w:pStyle w:val="413"/>
        <w:spacing w:line="480" w:lineRule="exact"/>
        <w:ind w:firstLine="482"/>
        <w:rPr>
          <w:rFonts w:ascii="宋体" w:hAnsi="宋体"/>
          <w:color w:val="auto"/>
          <w:sz w:val="24"/>
          <w:szCs w:val="24"/>
          <w:highlight w:val="none"/>
        </w:rPr>
      </w:pPr>
      <w:r>
        <w:rPr>
          <w:rFonts w:hint="eastAsia"/>
          <w:color w:val="auto"/>
          <w:sz w:val="24"/>
          <w:szCs w:val="24"/>
          <w:highlight w:val="none"/>
        </w:rPr>
        <w:t>授权单位名称：</w:t>
      </w:r>
      <w:r>
        <w:rPr>
          <w:rFonts w:hint="eastAsia"/>
          <w:color w:val="auto"/>
          <w:sz w:val="24"/>
          <w:szCs w:val="24"/>
          <w:highlight w:val="none"/>
          <w:u w:val="single"/>
        </w:rPr>
        <w:t>（盖CA电子公章）</w:t>
      </w:r>
    </w:p>
    <w:p w14:paraId="71EF1896">
      <w:pPr>
        <w:pStyle w:val="413"/>
        <w:spacing w:line="480" w:lineRule="exact"/>
        <w:ind w:firstLine="482"/>
        <w:rPr>
          <w:rFonts w:ascii="宋体" w:hAnsi="宋体"/>
          <w:color w:val="auto"/>
          <w:sz w:val="24"/>
          <w:szCs w:val="24"/>
          <w:highlight w:val="none"/>
        </w:rPr>
      </w:pPr>
      <w:r>
        <w:rPr>
          <w:rFonts w:hint="eastAsia"/>
          <w:color w:val="auto"/>
          <w:sz w:val="24"/>
          <w:szCs w:val="24"/>
          <w:highlight w:val="none"/>
        </w:rPr>
        <w:t>单位地址：</w:t>
      </w:r>
      <w:r>
        <w:rPr>
          <w:rFonts w:hint="eastAsia"/>
          <w:color w:val="auto"/>
          <w:sz w:val="24"/>
          <w:szCs w:val="24"/>
          <w:highlight w:val="none"/>
          <w:u w:val="single"/>
        </w:rPr>
        <w:t xml:space="preserve">                                         </w:t>
      </w:r>
    </w:p>
    <w:p w14:paraId="7DDC4B0C">
      <w:pPr>
        <w:pStyle w:val="413"/>
        <w:spacing w:line="480" w:lineRule="exact"/>
        <w:ind w:firstLine="482"/>
        <w:rPr>
          <w:rFonts w:hint="eastAsia" w:ascii="宋体" w:hAnsi="宋体"/>
          <w:color w:val="auto"/>
          <w:sz w:val="24"/>
          <w:szCs w:val="24"/>
          <w:highlight w:val="none"/>
        </w:rPr>
      </w:pPr>
      <w:r>
        <w:rPr>
          <w:rFonts w:hint="eastAsia"/>
          <w:color w:val="auto"/>
          <w:sz w:val="24"/>
          <w:szCs w:val="24"/>
          <w:highlight w:val="none"/>
        </w:rPr>
        <w:t>日期：</w:t>
      </w:r>
      <w:bookmarkStart w:id="156" w:name="_Hlt26671380"/>
      <w:bookmarkEnd w:id="156"/>
      <w:bookmarkStart w:id="157" w:name="_格式3__银行出具的资信证明"/>
      <w:bookmarkEnd w:id="157"/>
      <w:bookmarkStart w:id="158" w:name="_Hlt26955070"/>
      <w:bookmarkEnd w:id="158"/>
      <w:r>
        <w:rPr>
          <w:rFonts w:hint="eastAsia"/>
          <w:color w:val="auto"/>
          <w:sz w:val="24"/>
          <w:szCs w:val="24"/>
          <w:highlight w:val="none"/>
          <w:u w:val="single"/>
        </w:rPr>
        <w:t xml:space="preserve">                                         </w:t>
      </w:r>
    </w:p>
    <w:p w14:paraId="383D9469">
      <w:pPr>
        <w:pStyle w:val="295"/>
        <w:spacing w:line="700" w:lineRule="exact"/>
        <w:ind w:firstLine="629"/>
        <w:rPr>
          <w:rFonts w:ascii="方正仿宋_GBK" w:eastAsia="方正仿宋_GBK"/>
          <w:color w:val="auto"/>
          <w:sz w:val="24"/>
          <w:highlight w:val="none"/>
        </w:rPr>
      </w:pPr>
    </w:p>
    <w:p w14:paraId="29188634">
      <w:pPr>
        <w:pStyle w:val="298"/>
        <w:outlineLvl w:val="1"/>
        <w:rPr>
          <w:color w:val="auto"/>
          <w:highlight w:val="none"/>
        </w:rPr>
      </w:pPr>
      <w:r>
        <w:rPr>
          <w:color w:val="auto"/>
          <w:highlight w:val="none"/>
        </w:rPr>
        <w:br w:type="page" w:clear="all"/>
      </w:r>
      <w:bookmarkStart w:id="159" w:name="_Toc13550"/>
      <w:bookmarkStart w:id="160" w:name="_Toc27199"/>
      <w:bookmarkStart w:id="161" w:name="_Toc30543"/>
      <w:r>
        <w:rPr>
          <w:rFonts w:hint="eastAsia"/>
          <w:b w:val="0"/>
          <w:bCs/>
          <w:color w:val="auto"/>
          <w:highlight w:val="none"/>
        </w:rPr>
        <w:t>四</w:t>
      </w:r>
      <w:r>
        <w:rPr>
          <w:b w:val="0"/>
          <w:bCs/>
          <w:color w:val="auto"/>
          <w:highlight w:val="none"/>
        </w:rPr>
        <w:t>、开标一览表</w:t>
      </w:r>
      <w:bookmarkEnd w:id="159"/>
      <w:bookmarkEnd w:id="160"/>
      <w:bookmarkEnd w:id="161"/>
    </w:p>
    <w:p w14:paraId="050B54F1">
      <w:pPr>
        <w:pStyle w:val="299"/>
        <w:rPr>
          <w:rFonts w:hint="eastAsia" w:ascii="宋体" w:hAnsi="宋体" w:eastAsia="宋体" w:cs="宋体"/>
          <w:color w:val="auto"/>
          <w:highlight w:val="none"/>
        </w:rPr>
      </w:pPr>
    </w:p>
    <w:p w14:paraId="0EE7C6E1">
      <w:pPr>
        <w:pStyle w:val="299"/>
        <w:rPr>
          <w:color w:val="auto"/>
          <w:highlight w:val="none"/>
        </w:rPr>
      </w:pPr>
      <w:r>
        <w:rPr>
          <w:rFonts w:hint="eastAsia" w:ascii="宋体" w:hAnsi="宋体" w:eastAsia="宋体" w:cs="宋体"/>
          <w:color w:val="auto"/>
          <w:highlight w:val="none"/>
        </w:rPr>
        <w:t>投标人全称</w:t>
      </w:r>
      <w:r>
        <w:rPr>
          <w:rFonts w:hint="eastAsia"/>
          <w:color w:val="auto"/>
          <w:highlight w:val="none"/>
        </w:rPr>
        <w:t>(CA</w:t>
      </w:r>
      <w:r>
        <w:rPr>
          <w:rFonts w:hint="eastAsia" w:ascii="宋体" w:hAnsi="宋体" w:eastAsia="宋体" w:cs="宋体"/>
          <w:color w:val="auto"/>
          <w:highlight w:val="none"/>
        </w:rPr>
        <w:t>公章</w:t>
      </w:r>
      <w:r>
        <w:rPr>
          <w:rFonts w:hint="eastAsia"/>
          <w:color w:val="auto"/>
          <w:highlight w:val="none"/>
        </w:rPr>
        <w:t xml:space="preserve">) </w:t>
      </w:r>
      <w:r>
        <w:rPr>
          <w:rFonts w:hint="eastAsia" w:eastAsia="宋体"/>
          <w:color w:val="auto"/>
          <w:highlight w:val="none"/>
        </w:rPr>
        <w:t>：</w:t>
      </w:r>
      <w:r>
        <w:rPr>
          <w:rFonts w:hint="eastAsia" w:ascii="宋体" w:hAnsi="宋体" w:eastAsia="宋体" w:cs="宋体"/>
          <w:color w:val="auto"/>
          <w:highlight w:val="none"/>
        </w:rPr>
        <w:t>供应商名称</w:t>
      </w:r>
    </w:p>
    <w:p w14:paraId="49DAA21C">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采购项目名称：</w:t>
      </w:r>
    </w:p>
    <w:p w14:paraId="2C76093A">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采购项目编号： </w:t>
      </w:r>
    </w:p>
    <w:p w14:paraId="589D0B38">
      <w:pPr>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采购包</w:t>
      </w:r>
      <w:r>
        <w:rPr>
          <w:rFonts w:hint="eastAsia" w:ascii="宋体" w:hAnsi="宋体" w:cs="宋体"/>
          <w:color w:val="auto"/>
          <w:sz w:val="24"/>
          <w:szCs w:val="24"/>
          <w:highlight w:val="none"/>
          <w:lang w:eastAsia="zh-CN"/>
        </w:rPr>
        <w:t>号</w:t>
      </w:r>
      <w:r>
        <w:rPr>
          <w:rFonts w:hint="eastAsia" w:ascii="宋体" w:hAnsi="宋体" w:cs="宋体"/>
          <w:color w:val="auto"/>
          <w:sz w:val="24"/>
          <w:szCs w:val="24"/>
          <w:highlight w:val="none"/>
        </w:rPr>
        <w:t>：</w:t>
      </w:r>
      <w:r>
        <w:rPr>
          <w:rStyle w:val="363"/>
          <w:rFonts w:ascii="宋体" w:hAnsi="宋体" w:eastAsia="宋体" w:cs="宋体"/>
          <w:sz w:val="24"/>
          <w:szCs w:val="24"/>
        </w:rPr>
        <w:t>分包号</w:t>
      </w:r>
      <w:r>
        <w:rPr>
          <w:rFonts w:ascii="宋体" w:hAnsi="宋体" w:eastAsia="宋体" w:cs="宋体"/>
          <w:sz w:val="24"/>
          <w:szCs w:val="24"/>
        </w:rPr>
        <w:t> </w:t>
      </w:r>
    </w:p>
    <w:tbl>
      <w:tblPr>
        <w:tblStyle w:val="5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00"/>
      </w:tblGrid>
      <w:tr w14:paraId="41CD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noWrap w:val="0"/>
            <w:vAlign w:val="top"/>
          </w:tcPr>
          <w:p w14:paraId="6420FF03">
            <w:pPr>
              <w:spacing w:line="500" w:lineRule="exact"/>
              <w:jc w:val="center"/>
              <w:rPr>
                <w:rFonts w:hint="default"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投标总报价</w:t>
            </w:r>
          </w:p>
        </w:tc>
      </w:tr>
      <w:tr w14:paraId="5921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noWrap w:val="0"/>
            <w:vAlign w:val="top"/>
          </w:tcPr>
          <w:p w14:paraId="40B4FBE3">
            <w:pPr>
              <w:spacing w:line="500" w:lineRule="exact"/>
              <w:rPr>
                <w:rFonts w:hint="default"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vertAlign w:val="baseline"/>
                <w:lang w:val="en-US" w:eastAsia="zh-CN"/>
              </w:rPr>
              <w:t xml:space="preserve">总价（小写）：          </w:t>
            </w:r>
            <w:r>
              <w:rPr>
                <w:rFonts w:ascii="宋体" w:hAnsi="宋体" w:eastAsia="宋体" w:cs="宋体"/>
                <w:sz w:val="24"/>
                <w:szCs w:val="24"/>
              </w:rPr>
              <w:t>（人民币：元）</w:t>
            </w:r>
          </w:p>
        </w:tc>
      </w:tr>
      <w:tr w14:paraId="4AA8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noWrap w:val="0"/>
            <w:vAlign w:val="top"/>
          </w:tcPr>
          <w:p w14:paraId="23625D76">
            <w:pPr>
              <w:spacing w:line="500" w:lineRule="exact"/>
              <w:rPr>
                <w:rFonts w:hint="eastAsia" w:ascii="宋体" w:hAnsi="宋体" w:cs="宋体"/>
                <w:color w:val="auto"/>
                <w:sz w:val="24"/>
                <w:szCs w:val="24"/>
                <w:highlight w:val="none"/>
                <w:vertAlign w:val="baseline"/>
              </w:rPr>
            </w:pPr>
            <w:r>
              <w:rPr>
                <w:rFonts w:ascii="宋体" w:hAnsi="宋体" w:eastAsia="宋体" w:cs="宋体"/>
                <w:sz w:val="24"/>
                <w:szCs w:val="24"/>
              </w:rPr>
              <w:t>总价（大写）：</w:t>
            </w:r>
            <w:r>
              <w:rPr>
                <w:rStyle w:val="363"/>
                <w:rFonts w:ascii="宋体" w:hAnsi="宋体" w:eastAsia="宋体" w:cs="宋体"/>
                <w:sz w:val="24"/>
                <w:szCs w:val="24"/>
              </w:rPr>
              <w:t>金额大写</w:t>
            </w:r>
            <w:r>
              <w:rPr>
                <w:rFonts w:ascii="宋体" w:hAnsi="宋体" w:eastAsia="宋体" w:cs="宋体"/>
                <w:sz w:val="24"/>
                <w:szCs w:val="24"/>
              </w:rPr>
              <w:t xml:space="preserve"> （人民币：元）</w:t>
            </w:r>
          </w:p>
        </w:tc>
      </w:tr>
    </w:tbl>
    <w:p w14:paraId="63431542">
      <w:pPr>
        <w:spacing w:line="500" w:lineRule="exact"/>
        <w:rPr>
          <w:rFonts w:hint="eastAsia" w:ascii="宋体" w:hAnsi="宋体" w:cs="宋体"/>
          <w:color w:val="auto"/>
          <w:sz w:val="24"/>
          <w:szCs w:val="24"/>
          <w:highlight w:val="none"/>
        </w:rPr>
      </w:pPr>
    </w:p>
    <w:p w14:paraId="4131026E">
      <w:pPr>
        <w:rPr>
          <w:rFonts w:hint="eastAsia"/>
          <w:color w:val="auto"/>
          <w:highlight w:val="none"/>
        </w:rPr>
      </w:pPr>
    </w:p>
    <w:p w14:paraId="00FC5D57">
      <w:pPr>
        <w:rPr>
          <w:rFonts w:hint="eastAsia"/>
          <w:color w:val="auto"/>
          <w:highlight w:val="none"/>
        </w:rPr>
      </w:pPr>
    </w:p>
    <w:p w14:paraId="327E4A6A">
      <w:pPr>
        <w:rPr>
          <w:rFonts w:hint="eastAsia"/>
          <w:color w:val="auto"/>
          <w:highlight w:val="none"/>
        </w:rPr>
      </w:pPr>
    </w:p>
    <w:p w14:paraId="569C142A">
      <w:pPr>
        <w:rPr>
          <w:rFonts w:ascii="宋体" w:hAnsi="宋体" w:cs="宋体"/>
          <w:color w:val="auto"/>
          <w:sz w:val="24"/>
          <w:highlight w:val="none"/>
        </w:rPr>
      </w:pPr>
      <w:r>
        <w:rPr>
          <w:rFonts w:hint="eastAsia"/>
          <w:color w:val="auto"/>
          <w:highlight w:val="none"/>
        </w:rPr>
        <w:t xml:space="preserve"> </w:t>
      </w:r>
      <w:r>
        <w:rPr>
          <w:color w:val="auto"/>
          <w:highlight w:val="none"/>
        </w:rPr>
        <w:t xml:space="preserve">                   </w:t>
      </w:r>
      <w:r>
        <w:rPr>
          <w:rFonts w:hint="eastAsia"/>
          <w:color w:val="auto"/>
          <w:highlight w:val="none"/>
        </w:rPr>
        <w:t xml:space="preserve">                   </w:t>
      </w:r>
      <w:r>
        <w:rPr>
          <w:color w:val="auto"/>
          <w:highlight w:val="none"/>
        </w:rPr>
        <w:t xml:space="preserve">     </w:t>
      </w:r>
      <w:bookmarkStart w:id="162" w:name="_Toc12113"/>
      <w:r>
        <w:rPr>
          <w:rFonts w:hint="eastAsia" w:ascii="宋体" w:hAnsi="宋体" w:cs="宋体"/>
          <w:color w:val="auto"/>
          <w:sz w:val="24"/>
          <w:highlight w:val="none"/>
        </w:rPr>
        <w:t xml:space="preserve">日期： </w:t>
      </w:r>
      <w:r>
        <w:rPr>
          <w:rFonts w:ascii="宋体" w:hAnsi="宋体" w:cs="宋体"/>
          <w:color w:val="auto"/>
          <w:sz w:val="24"/>
          <w:highlight w:val="none"/>
        </w:rPr>
        <w:t xml:space="preserve">    </w:t>
      </w:r>
      <w:r>
        <w:rPr>
          <w:rFonts w:hint="eastAsia" w:ascii="宋体" w:hAnsi="宋体" w:cs="宋体"/>
          <w:color w:val="auto"/>
          <w:sz w:val="24"/>
          <w:highlight w:val="none"/>
        </w:rPr>
        <w:t xml:space="preserve">年 </w:t>
      </w:r>
      <w:r>
        <w:rPr>
          <w:rFonts w:ascii="宋体" w:hAnsi="宋体" w:cs="宋体"/>
          <w:color w:val="auto"/>
          <w:sz w:val="24"/>
          <w:highlight w:val="none"/>
        </w:rPr>
        <w:t xml:space="preserve">    </w:t>
      </w:r>
      <w:r>
        <w:rPr>
          <w:rFonts w:hint="eastAsia" w:ascii="宋体" w:hAnsi="宋体" w:cs="宋体"/>
          <w:color w:val="auto"/>
          <w:sz w:val="24"/>
          <w:highlight w:val="none"/>
        </w:rPr>
        <w:t xml:space="preserve">月 </w:t>
      </w:r>
      <w:r>
        <w:rPr>
          <w:rFonts w:ascii="宋体" w:hAnsi="宋体" w:cs="宋体"/>
          <w:color w:val="auto"/>
          <w:sz w:val="24"/>
          <w:highlight w:val="none"/>
        </w:rPr>
        <w:t xml:space="preserve">    </w:t>
      </w:r>
      <w:r>
        <w:rPr>
          <w:rFonts w:hint="eastAsia" w:ascii="宋体" w:hAnsi="宋体" w:cs="宋体"/>
          <w:color w:val="auto"/>
          <w:sz w:val="24"/>
          <w:highlight w:val="none"/>
        </w:rPr>
        <w:t>日</w:t>
      </w:r>
      <w:bookmarkEnd w:id="162"/>
    </w:p>
    <w:p w14:paraId="32119DC5">
      <w:pPr>
        <w:pStyle w:val="301"/>
        <w:outlineLvl w:val="1"/>
        <w:rPr>
          <w:rFonts w:hint="eastAsia"/>
          <w:color w:val="auto"/>
          <w:highlight w:val="none"/>
        </w:rPr>
      </w:pPr>
      <w:r>
        <w:rPr>
          <w:color w:val="auto"/>
          <w:highlight w:val="none"/>
        </w:rPr>
        <w:br w:type="page" w:clear="all"/>
      </w:r>
      <w:bookmarkStart w:id="163" w:name="_Toc26543"/>
      <w:bookmarkStart w:id="164" w:name="_Toc956"/>
      <w:bookmarkStart w:id="165" w:name="_Toc12614"/>
      <w:r>
        <w:rPr>
          <w:rFonts w:hint="eastAsia"/>
          <w:b w:val="0"/>
          <w:bCs/>
          <w:color w:val="auto"/>
          <w:highlight w:val="none"/>
        </w:rPr>
        <w:t>五</w:t>
      </w:r>
      <w:r>
        <w:rPr>
          <w:b w:val="0"/>
          <w:bCs/>
          <w:color w:val="auto"/>
          <w:highlight w:val="none"/>
        </w:rPr>
        <w:t>、</w:t>
      </w:r>
      <w:bookmarkEnd w:id="163"/>
      <w:bookmarkEnd w:id="164"/>
      <w:r>
        <w:rPr>
          <w:rFonts w:hint="eastAsia"/>
          <w:b w:val="0"/>
          <w:bCs/>
          <w:color w:val="auto"/>
          <w:highlight w:val="none"/>
        </w:rPr>
        <w:t>分项报价表</w:t>
      </w:r>
      <w:bookmarkEnd w:id="165"/>
    </w:p>
    <w:p w14:paraId="006B0E4D">
      <w:pPr>
        <w:pStyle w:val="293"/>
        <w:jc w:val="center"/>
        <w:rPr>
          <w:rFonts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分项报价表</w:t>
      </w:r>
    </w:p>
    <w:p w14:paraId="098BD1F0">
      <w:pPr>
        <w:pStyle w:val="293"/>
        <w:jc w:val="center"/>
        <w:rPr>
          <w:rFonts w:hint="eastAsia"/>
          <w:b/>
          <w:bCs/>
          <w:color w:val="auto"/>
          <w:highlight w:val="none"/>
        </w:rPr>
      </w:pPr>
      <w:r>
        <w:rPr>
          <w:rFonts w:hint="eastAsia" w:ascii="方正小标宋_GBK" w:eastAsia="方正小标宋_GBK"/>
          <w:bCs/>
          <w:color w:val="auto"/>
          <w:sz w:val="32"/>
          <w:szCs w:val="32"/>
          <w:highlight w:val="none"/>
        </w:rPr>
        <w:t>（货物类）</w:t>
      </w:r>
    </w:p>
    <w:tbl>
      <w:tblPr>
        <w:tblStyle w:val="53"/>
        <w:tblW w:w="9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052"/>
        <w:gridCol w:w="814"/>
        <w:gridCol w:w="1072"/>
        <w:gridCol w:w="1617"/>
        <w:gridCol w:w="1233"/>
        <w:gridCol w:w="921"/>
        <w:gridCol w:w="932"/>
        <w:gridCol w:w="1136"/>
      </w:tblGrid>
      <w:tr w14:paraId="7D32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500" w:type="dxa"/>
            <w:noWrap w:val="0"/>
            <w:vAlign w:val="top"/>
          </w:tcPr>
          <w:p w14:paraId="4D356232">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序号</w:t>
            </w:r>
          </w:p>
        </w:tc>
        <w:tc>
          <w:tcPr>
            <w:tcW w:w="1052" w:type="dxa"/>
            <w:noWrap w:val="0"/>
            <w:vAlign w:val="center"/>
          </w:tcPr>
          <w:p w14:paraId="3E5C849C">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产品</w:t>
            </w:r>
          </w:p>
          <w:p w14:paraId="61704A78">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名称</w:t>
            </w:r>
          </w:p>
        </w:tc>
        <w:tc>
          <w:tcPr>
            <w:tcW w:w="814" w:type="dxa"/>
            <w:noWrap w:val="0"/>
            <w:vAlign w:val="center"/>
          </w:tcPr>
          <w:p w14:paraId="28905676">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品牌</w:t>
            </w:r>
          </w:p>
        </w:tc>
        <w:tc>
          <w:tcPr>
            <w:tcW w:w="1072" w:type="dxa"/>
            <w:noWrap w:val="0"/>
            <w:vAlign w:val="center"/>
          </w:tcPr>
          <w:p w14:paraId="45520BD7">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规格</w:t>
            </w:r>
          </w:p>
          <w:p w14:paraId="07812DF1">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型号</w:t>
            </w:r>
          </w:p>
        </w:tc>
        <w:tc>
          <w:tcPr>
            <w:tcW w:w="1617" w:type="dxa"/>
            <w:noWrap w:val="0"/>
            <w:vAlign w:val="center"/>
          </w:tcPr>
          <w:p w14:paraId="64105CCA">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制造商名称</w:t>
            </w:r>
          </w:p>
        </w:tc>
        <w:tc>
          <w:tcPr>
            <w:tcW w:w="1233" w:type="dxa"/>
            <w:noWrap w:val="0"/>
            <w:vAlign w:val="center"/>
          </w:tcPr>
          <w:p w14:paraId="02FF95CC">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产地</w:t>
            </w:r>
          </w:p>
        </w:tc>
        <w:tc>
          <w:tcPr>
            <w:tcW w:w="921" w:type="dxa"/>
            <w:noWrap w:val="0"/>
            <w:vAlign w:val="center"/>
          </w:tcPr>
          <w:p w14:paraId="30507DBC">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数量</w:t>
            </w:r>
          </w:p>
        </w:tc>
        <w:tc>
          <w:tcPr>
            <w:tcW w:w="932" w:type="dxa"/>
            <w:noWrap w:val="0"/>
            <w:vAlign w:val="center"/>
          </w:tcPr>
          <w:p w14:paraId="078BD9CF">
            <w:pPr>
              <w:spacing w:line="0" w:lineRule="atLeast"/>
              <w:jc w:val="center"/>
              <w:rPr>
                <w:rFonts w:ascii="宋体" w:hAnsi="宋体"/>
                <w:color w:val="auto"/>
                <w:sz w:val="24"/>
                <w:szCs w:val="24"/>
                <w:highlight w:val="none"/>
              </w:rPr>
            </w:pPr>
            <w:r>
              <w:rPr>
                <w:rFonts w:hint="eastAsia" w:ascii="宋体" w:hAnsi="宋体"/>
                <w:color w:val="auto"/>
                <w:sz w:val="24"/>
                <w:szCs w:val="24"/>
                <w:highlight w:val="none"/>
              </w:rPr>
              <w:t>分项</w:t>
            </w:r>
          </w:p>
          <w:p w14:paraId="12F21E9C">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单价</w:t>
            </w:r>
          </w:p>
        </w:tc>
        <w:tc>
          <w:tcPr>
            <w:tcW w:w="1136" w:type="dxa"/>
            <w:noWrap w:val="0"/>
            <w:vAlign w:val="center"/>
          </w:tcPr>
          <w:p w14:paraId="72A6E869">
            <w:pPr>
              <w:spacing w:line="0" w:lineRule="atLeast"/>
              <w:jc w:val="center"/>
              <w:rPr>
                <w:rFonts w:ascii="宋体" w:hAnsi="宋体"/>
                <w:color w:val="auto"/>
                <w:sz w:val="24"/>
                <w:szCs w:val="24"/>
                <w:highlight w:val="none"/>
              </w:rPr>
            </w:pPr>
            <w:r>
              <w:rPr>
                <w:rFonts w:hint="eastAsia" w:ascii="宋体" w:hAnsi="宋体"/>
                <w:color w:val="auto"/>
                <w:sz w:val="24"/>
                <w:szCs w:val="24"/>
                <w:highlight w:val="none"/>
              </w:rPr>
              <w:t>分项</w:t>
            </w:r>
          </w:p>
          <w:p w14:paraId="407BDECE">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总价</w:t>
            </w:r>
          </w:p>
        </w:tc>
      </w:tr>
      <w:tr w14:paraId="2561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500" w:type="dxa"/>
            <w:noWrap w:val="0"/>
            <w:vAlign w:val="center"/>
          </w:tcPr>
          <w:p w14:paraId="31413FBC">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1</w:t>
            </w:r>
          </w:p>
        </w:tc>
        <w:tc>
          <w:tcPr>
            <w:tcW w:w="1052" w:type="dxa"/>
            <w:noWrap w:val="0"/>
            <w:vAlign w:val="center"/>
          </w:tcPr>
          <w:p w14:paraId="5705FE99">
            <w:pPr>
              <w:spacing w:line="0" w:lineRule="atLeast"/>
              <w:jc w:val="center"/>
              <w:rPr>
                <w:rFonts w:hint="eastAsia" w:ascii="宋体" w:hAnsi="宋体"/>
                <w:color w:val="auto"/>
                <w:sz w:val="24"/>
                <w:szCs w:val="24"/>
                <w:highlight w:val="none"/>
              </w:rPr>
            </w:pPr>
          </w:p>
        </w:tc>
        <w:tc>
          <w:tcPr>
            <w:tcW w:w="814" w:type="dxa"/>
            <w:noWrap w:val="0"/>
            <w:vAlign w:val="center"/>
          </w:tcPr>
          <w:p w14:paraId="0605DED0">
            <w:pPr>
              <w:spacing w:line="0" w:lineRule="atLeast"/>
              <w:jc w:val="center"/>
              <w:rPr>
                <w:rFonts w:hint="eastAsia" w:ascii="宋体" w:hAnsi="宋体"/>
                <w:color w:val="auto"/>
                <w:sz w:val="24"/>
                <w:szCs w:val="24"/>
                <w:highlight w:val="none"/>
              </w:rPr>
            </w:pPr>
          </w:p>
        </w:tc>
        <w:tc>
          <w:tcPr>
            <w:tcW w:w="1072" w:type="dxa"/>
            <w:noWrap w:val="0"/>
            <w:vAlign w:val="center"/>
          </w:tcPr>
          <w:p w14:paraId="0C9CC090">
            <w:pPr>
              <w:spacing w:line="0" w:lineRule="atLeast"/>
              <w:jc w:val="center"/>
              <w:rPr>
                <w:rFonts w:hint="eastAsia" w:ascii="宋体" w:hAnsi="宋体"/>
                <w:color w:val="auto"/>
                <w:sz w:val="24"/>
                <w:szCs w:val="24"/>
                <w:highlight w:val="none"/>
              </w:rPr>
            </w:pPr>
          </w:p>
        </w:tc>
        <w:tc>
          <w:tcPr>
            <w:tcW w:w="1617" w:type="dxa"/>
            <w:noWrap w:val="0"/>
            <w:vAlign w:val="center"/>
          </w:tcPr>
          <w:p w14:paraId="7B3C18A0">
            <w:pPr>
              <w:spacing w:line="0" w:lineRule="atLeast"/>
              <w:jc w:val="center"/>
              <w:rPr>
                <w:rFonts w:hint="eastAsia" w:ascii="宋体" w:hAnsi="宋体"/>
                <w:color w:val="auto"/>
                <w:sz w:val="24"/>
                <w:szCs w:val="24"/>
                <w:highlight w:val="none"/>
              </w:rPr>
            </w:pPr>
          </w:p>
        </w:tc>
        <w:tc>
          <w:tcPr>
            <w:tcW w:w="1233" w:type="dxa"/>
            <w:noWrap w:val="0"/>
            <w:vAlign w:val="center"/>
          </w:tcPr>
          <w:p w14:paraId="5BE45B03">
            <w:pPr>
              <w:spacing w:line="0" w:lineRule="atLeast"/>
              <w:jc w:val="center"/>
              <w:rPr>
                <w:rFonts w:hint="eastAsia" w:ascii="宋体" w:hAnsi="宋体"/>
                <w:color w:val="auto"/>
                <w:sz w:val="24"/>
                <w:szCs w:val="24"/>
                <w:highlight w:val="none"/>
              </w:rPr>
            </w:pPr>
          </w:p>
        </w:tc>
        <w:tc>
          <w:tcPr>
            <w:tcW w:w="921" w:type="dxa"/>
            <w:noWrap w:val="0"/>
            <w:vAlign w:val="center"/>
          </w:tcPr>
          <w:p w14:paraId="0B03726B">
            <w:pPr>
              <w:spacing w:line="0" w:lineRule="atLeast"/>
              <w:jc w:val="center"/>
              <w:rPr>
                <w:rFonts w:hint="eastAsia" w:ascii="宋体" w:hAnsi="宋体"/>
                <w:color w:val="auto"/>
                <w:sz w:val="24"/>
                <w:szCs w:val="24"/>
                <w:highlight w:val="none"/>
              </w:rPr>
            </w:pPr>
          </w:p>
        </w:tc>
        <w:tc>
          <w:tcPr>
            <w:tcW w:w="932" w:type="dxa"/>
            <w:noWrap w:val="0"/>
            <w:vAlign w:val="center"/>
          </w:tcPr>
          <w:p w14:paraId="02767845">
            <w:pPr>
              <w:spacing w:line="0" w:lineRule="atLeast"/>
              <w:jc w:val="center"/>
              <w:rPr>
                <w:rFonts w:hint="eastAsia" w:ascii="宋体" w:hAnsi="宋体"/>
                <w:color w:val="auto"/>
                <w:sz w:val="24"/>
                <w:szCs w:val="24"/>
                <w:highlight w:val="none"/>
              </w:rPr>
            </w:pPr>
          </w:p>
        </w:tc>
        <w:tc>
          <w:tcPr>
            <w:tcW w:w="1136" w:type="dxa"/>
            <w:noWrap w:val="0"/>
            <w:vAlign w:val="center"/>
          </w:tcPr>
          <w:p w14:paraId="77D294D8">
            <w:pPr>
              <w:spacing w:line="0" w:lineRule="atLeast"/>
              <w:jc w:val="center"/>
              <w:rPr>
                <w:rFonts w:hint="eastAsia" w:ascii="宋体" w:hAnsi="宋体"/>
                <w:color w:val="auto"/>
                <w:sz w:val="24"/>
                <w:szCs w:val="24"/>
                <w:highlight w:val="none"/>
              </w:rPr>
            </w:pPr>
          </w:p>
        </w:tc>
      </w:tr>
      <w:tr w14:paraId="4C5C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500" w:type="dxa"/>
            <w:noWrap w:val="0"/>
            <w:vAlign w:val="center"/>
          </w:tcPr>
          <w:p w14:paraId="74FF4A32">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2</w:t>
            </w:r>
          </w:p>
        </w:tc>
        <w:tc>
          <w:tcPr>
            <w:tcW w:w="1052" w:type="dxa"/>
            <w:noWrap w:val="0"/>
            <w:vAlign w:val="center"/>
          </w:tcPr>
          <w:p w14:paraId="03C26A53">
            <w:pPr>
              <w:spacing w:line="0" w:lineRule="atLeast"/>
              <w:jc w:val="center"/>
              <w:rPr>
                <w:rFonts w:hint="eastAsia" w:ascii="宋体" w:hAnsi="宋体"/>
                <w:color w:val="auto"/>
                <w:sz w:val="24"/>
                <w:szCs w:val="24"/>
                <w:highlight w:val="none"/>
              </w:rPr>
            </w:pPr>
          </w:p>
        </w:tc>
        <w:tc>
          <w:tcPr>
            <w:tcW w:w="814" w:type="dxa"/>
            <w:noWrap w:val="0"/>
            <w:vAlign w:val="center"/>
          </w:tcPr>
          <w:p w14:paraId="2A0A4408">
            <w:pPr>
              <w:spacing w:line="0" w:lineRule="atLeast"/>
              <w:jc w:val="center"/>
              <w:rPr>
                <w:rFonts w:hint="eastAsia" w:ascii="宋体" w:hAnsi="宋体"/>
                <w:color w:val="auto"/>
                <w:sz w:val="24"/>
                <w:szCs w:val="24"/>
                <w:highlight w:val="none"/>
              </w:rPr>
            </w:pPr>
          </w:p>
        </w:tc>
        <w:tc>
          <w:tcPr>
            <w:tcW w:w="1072" w:type="dxa"/>
            <w:noWrap w:val="0"/>
            <w:vAlign w:val="center"/>
          </w:tcPr>
          <w:p w14:paraId="4A9B11D7">
            <w:pPr>
              <w:spacing w:line="0" w:lineRule="atLeast"/>
              <w:jc w:val="center"/>
              <w:rPr>
                <w:rFonts w:hint="eastAsia" w:ascii="宋体" w:hAnsi="宋体"/>
                <w:color w:val="auto"/>
                <w:sz w:val="24"/>
                <w:szCs w:val="24"/>
                <w:highlight w:val="none"/>
              </w:rPr>
            </w:pPr>
          </w:p>
        </w:tc>
        <w:tc>
          <w:tcPr>
            <w:tcW w:w="1617" w:type="dxa"/>
            <w:noWrap w:val="0"/>
            <w:vAlign w:val="center"/>
          </w:tcPr>
          <w:p w14:paraId="613735ED">
            <w:pPr>
              <w:spacing w:line="0" w:lineRule="atLeast"/>
              <w:jc w:val="center"/>
              <w:rPr>
                <w:rFonts w:hint="eastAsia" w:ascii="宋体" w:hAnsi="宋体"/>
                <w:color w:val="auto"/>
                <w:sz w:val="24"/>
                <w:szCs w:val="24"/>
                <w:highlight w:val="none"/>
              </w:rPr>
            </w:pPr>
          </w:p>
        </w:tc>
        <w:tc>
          <w:tcPr>
            <w:tcW w:w="1233" w:type="dxa"/>
            <w:noWrap w:val="0"/>
            <w:vAlign w:val="top"/>
          </w:tcPr>
          <w:p w14:paraId="286334A8">
            <w:pPr>
              <w:spacing w:line="0" w:lineRule="atLeast"/>
              <w:jc w:val="center"/>
              <w:rPr>
                <w:rFonts w:hint="eastAsia" w:ascii="宋体" w:hAnsi="宋体"/>
                <w:color w:val="auto"/>
                <w:sz w:val="24"/>
                <w:szCs w:val="24"/>
                <w:highlight w:val="none"/>
              </w:rPr>
            </w:pPr>
          </w:p>
        </w:tc>
        <w:tc>
          <w:tcPr>
            <w:tcW w:w="921" w:type="dxa"/>
            <w:noWrap w:val="0"/>
            <w:vAlign w:val="center"/>
          </w:tcPr>
          <w:p w14:paraId="4C1898DC">
            <w:pPr>
              <w:spacing w:line="0" w:lineRule="atLeast"/>
              <w:jc w:val="center"/>
              <w:rPr>
                <w:rFonts w:hint="eastAsia" w:ascii="宋体" w:hAnsi="宋体"/>
                <w:color w:val="auto"/>
                <w:sz w:val="24"/>
                <w:szCs w:val="24"/>
                <w:highlight w:val="none"/>
                <w:u w:val="single"/>
              </w:rPr>
            </w:pPr>
          </w:p>
        </w:tc>
        <w:tc>
          <w:tcPr>
            <w:tcW w:w="932" w:type="dxa"/>
            <w:noWrap w:val="0"/>
            <w:vAlign w:val="center"/>
          </w:tcPr>
          <w:p w14:paraId="21A2657F">
            <w:pPr>
              <w:spacing w:line="0" w:lineRule="atLeast"/>
              <w:jc w:val="center"/>
              <w:rPr>
                <w:rFonts w:hint="eastAsia" w:ascii="宋体" w:hAnsi="宋体"/>
                <w:color w:val="auto"/>
                <w:sz w:val="24"/>
                <w:szCs w:val="24"/>
                <w:highlight w:val="none"/>
              </w:rPr>
            </w:pPr>
          </w:p>
        </w:tc>
        <w:tc>
          <w:tcPr>
            <w:tcW w:w="1136" w:type="dxa"/>
            <w:noWrap w:val="0"/>
            <w:vAlign w:val="center"/>
          </w:tcPr>
          <w:p w14:paraId="38888890">
            <w:pPr>
              <w:spacing w:line="0" w:lineRule="atLeast"/>
              <w:jc w:val="center"/>
              <w:rPr>
                <w:rFonts w:hint="eastAsia" w:ascii="宋体" w:hAnsi="宋体"/>
                <w:color w:val="auto"/>
                <w:sz w:val="24"/>
                <w:szCs w:val="24"/>
                <w:highlight w:val="none"/>
              </w:rPr>
            </w:pPr>
          </w:p>
        </w:tc>
      </w:tr>
      <w:tr w14:paraId="5CB7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500" w:type="dxa"/>
            <w:noWrap w:val="0"/>
            <w:vAlign w:val="center"/>
          </w:tcPr>
          <w:p w14:paraId="5854A981">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3</w:t>
            </w:r>
          </w:p>
        </w:tc>
        <w:tc>
          <w:tcPr>
            <w:tcW w:w="1052" w:type="dxa"/>
            <w:noWrap w:val="0"/>
            <w:vAlign w:val="center"/>
          </w:tcPr>
          <w:p w14:paraId="49F1977C">
            <w:pPr>
              <w:spacing w:line="0" w:lineRule="atLeast"/>
              <w:jc w:val="center"/>
              <w:rPr>
                <w:rFonts w:hint="eastAsia" w:ascii="宋体" w:hAnsi="宋体"/>
                <w:color w:val="auto"/>
                <w:sz w:val="24"/>
                <w:szCs w:val="24"/>
                <w:highlight w:val="none"/>
              </w:rPr>
            </w:pPr>
          </w:p>
        </w:tc>
        <w:tc>
          <w:tcPr>
            <w:tcW w:w="814" w:type="dxa"/>
            <w:noWrap w:val="0"/>
            <w:vAlign w:val="center"/>
          </w:tcPr>
          <w:p w14:paraId="65F7F14B">
            <w:pPr>
              <w:spacing w:line="0" w:lineRule="atLeast"/>
              <w:jc w:val="center"/>
              <w:rPr>
                <w:rFonts w:hint="eastAsia" w:ascii="宋体" w:hAnsi="宋体"/>
                <w:color w:val="auto"/>
                <w:sz w:val="24"/>
                <w:szCs w:val="24"/>
                <w:highlight w:val="none"/>
              </w:rPr>
            </w:pPr>
          </w:p>
        </w:tc>
        <w:tc>
          <w:tcPr>
            <w:tcW w:w="1072" w:type="dxa"/>
            <w:noWrap w:val="0"/>
            <w:vAlign w:val="center"/>
          </w:tcPr>
          <w:p w14:paraId="0220D174">
            <w:pPr>
              <w:spacing w:line="0" w:lineRule="atLeast"/>
              <w:jc w:val="center"/>
              <w:rPr>
                <w:rFonts w:hint="eastAsia" w:ascii="宋体" w:hAnsi="宋体"/>
                <w:color w:val="auto"/>
                <w:sz w:val="24"/>
                <w:szCs w:val="24"/>
                <w:highlight w:val="none"/>
              </w:rPr>
            </w:pPr>
          </w:p>
        </w:tc>
        <w:tc>
          <w:tcPr>
            <w:tcW w:w="1617" w:type="dxa"/>
            <w:noWrap w:val="0"/>
            <w:vAlign w:val="center"/>
          </w:tcPr>
          <w:p w14:paraId="009B1E12">
            <w:pPr>
              <w:spacing w:line="0" w:lineRule="atLeast"/>
              <w:jc w:val="center"/>
              <w:rPr>
                <w:rFonts w:hint="eastAsia" w:ascii="宋体" w:hAnsi="宋体"/>
                <w:color w:val="auto"/>
                <w:sz w:val="24"/>
                <w:szCs w:val="24"/>
                <w:highlight w:val="none"/>
              </w:rPr>
            </w:pPr>
          </w:p>
        </w:tc>
        <w:tc>
          <w:tcPr>
            <w:tcW w:w="1233" w:type="dxa"/>
            <w:noWrap w:val="0"/>
            <w:vAlign w:val="top"/>
          </w:tcPr>
          <w:p w14:paraId="4DFC1B0F">
            <w:pPr>
              <w:spacing w:line="0" w:lineRule="atLeast"/>
              <w:jc w:val="center"/>
              <w:rPr>
                <w:rFonts w:hint="eastAsia" w:ascii="宋体" w:hAnsi="宋体"/>
                <w:color w:val="auto"/>
                <w:sz w:val="24"/>
                <w:szCs w:val="24"/>
                <w:highlight w:val="none"/>
              </w:rPr>
            </w:pPr>
          </w:p>
        </w:tc>
        <w:tc>
          <w:tcPr>
            <w:tcW w:w="921" w:type="dxa"/>
            <w:noWrap w:val="0"/>
            <w:vAlign w:val="center"/>
          </w:tcPr>
          <w:p w14:paraId="509D7555">
            <w:pPr>
              <w:spacing w:line="0" w:lineRule="atLeast"/>
              <w:jc w:val="center"/>
              <w:rPr>
                <w:rFonts w:hint="eastAsia" w:ascii="宋体" w:hAnsi="宋体"/>
                <w:color w:val="auto"/>
                <w:sz w:val="24"/>
                <w:szCs w:val="24"/>
                <w:highlight w:val="none"/>
              </w:rPr>
            </w:pPr>
          </w:p>
        </w:tc>
        <w:tc>
          <w:tcPr>
            <w:tcW w:w="932" w:type="dxa"/>
            <w:noWrap w:val="0"/>
            <w:vAlign w:val="center"/>
          </w:tcPr>
          <w:p w14:paraId="4E1DFCD8">
            <w:pPr>
              <w:spacing w:line="0" w:lineRule="atLeast"/>
              <w:jc w:val="center"/>
              <w:rPr>
                <w:rFonts w:hint="eastAsia" w:ascii="宋体" w:hAnsi="宋体"/>
                <w:color w:val="auto"/>
                <w:sz w:val="24"/>
                <w:szCs w:val="24"/>
                <w:highlight w:val="none"/>
              </w:rPr>
            </w:pPr>
          </w:p>
        </w:tc>
        <w:tc>
          <w:tcPr>
            <w:tcW w:w="1136" w:type="dxa"/>
            <w:noWrap w:val="0"/>
            <w:vAlign w:val="center"/>
          </w:tcPr>
          <w:p w14:paraId="7C83DC46">
            <w:pPr>
              <w:spacing w:line="0" w:lineRule="atLeast"/>
              <w:jc w:val="center"/>
              <w:rPr>
                <w:rFonts w:hint="eastAsia" w:ascii="宋体" w:hAnsi="宋体"/>
                <w:color w:val="auto"/>
                <w:sz w:val="24"/>
                <w:szCs w:val="24"/>
                <w:highlight w:val="none"/>
              </w:rPr>
            </w:pPr>
          </w:p>
        </w:tc>
      </w:tr>
      <w:tr w14:paraId="3825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00" w:type="dxa"/>
            <w:noWrap w:val="0"/>
            <w:vAlign w:val="center"/>
          </w:tcPr>
          <w:p w14:paraId="0616F4FB">
            <w:pPr>
              <w:spacing w:line="0" w:lineRule="atLeast"/>
              <w:jc w:val="center"/>
              <w:rPr>
                <w:rFonts w:hint="eastAsia" w:ascii="宋体" w:hAnsi="宋体"/>
                <w:color w:val="auto"/>
                <w:sz w:val="24"/>
                <w:szCs w:val="24"/>
                <w:highlight w:val="none"/>
              </w:rPr>
            </w:pPr>
            <w:r>
              <w:rPr>
                <w:rFonts w:hint="eastAsia" w:ascii="宋体" w:hAnsi="宋体"/>
                <w:color w:val="auto"/>
                <w:sz w:val="24"/>
                <w:szCs w:val="24"/>
                <w:highlight w:val="none"/>
              </w:rPr>
              <w:t>4</w:t>
            </w:r>
          </w:p>
        </w:tc>
        <w:tc>
          <w:tcPr>
            <w:tcW w:w="1052" w:type="dxa"/>
            <w:noWrap w:val="0"/>
            <w:vAlign w:val="center"/>
          </w:tcPr>
          <w:p w14:paraId="04E7FA56">
            <w:pPr>
              <w:spacing w:line="0" w:lineRule="atLeast"/>
              <w:jc w:val="center"/>
              <w:rPr>
                <w:rFonts w:hint="eastAsia" w:ascii="宋体" w:hAnsi="宋体"/>
                <w:color w:val="auto"/>
                <w:sz w:val="24"/>
                <w:szCs w:val="24"/>
                <w:highlight w:val="none"/>
              </w:rPr>
            </w:pPr>
          </w:p>
        </w:tc>
        <w:tc>
          <w:tcPr>
            <w:tcW w:w="814" w:type="dxa"/>
            <w:noWrap w:val="0"/>
            <w:vAlign w:val="center"/>
          </w:tcPr>
          <w:p w14:paraId="0E3A4EC6">
            <w:pPr>
              <w:spacing w:line="0" w:lineRule="atLeast"/>
              <w:jc w:val="center"/>
              <w:rPr>
                <w:rFonts w:hint="eastAsia" w:ascii="宋体" w:hAnsi="宋体"/>
                <w:color w:val="auto"/>
                <w:sz w:val="24"/>
                <w:szCs w:val="24"/>
                <w:highlight w:val="none"/>
              </w:rPr>
            </w:pPr>
          </w:p>
        </w:tc>
        <w:tc>
          <w:tcPr>
            <w:tcW w:w="1072" w:type="dxa"/>
            <w:noWrap w:val="0"/>
            <w:vAlign w:val="center"/>
          </w:tcPr>
          <w:p w14:paraId="7A80A6AB">
            <w:pPr>
              <w:spacing w:line="0" w:lineRule="atLeast"/>
              <w:jc w:val="center"/>
              <w:rPr>
                <w:rFonts w:hint="eastAsia" w:ascii="宋体" w:hAnsi="宋体"/>
                <w:color w:val="auto"/>
                <w:sz w:val="24"/>
                <w:szCs w:val="24"/>
                <w:highlight w:val="none"/>
              </w:rPr>
            </w:pPr>
          </w:p>
        </w:tc>
        <w:tc>
          <w:tcPr>
            <w:tcW w:w="1617" w:type="dxa"/>
            <w:noWrap w:val="0"/>
            <w:vAlign w:val="center"/>
          </w:tcPr>
          <w:p w14:paraId="71445223">
            <w:pPr>
              <w:spacing w:line="0" w:lineRule="atLeast"/>
              <w:jc w:val="center"/>
              <w:rPr>
                <w:rFonts w:hint="eastAsia" w:ascii="宋体" w:hAnsi="宋体"/>
                <w:color w:val="auto"/>
                <w:sz w:val="24"/>
                <w:szCs w:val="24"/>
                <w:highlight w:val="none"/>
              </w:rPr>
            </w:pPr>
          </w:p>
        </w:tc>
        <w:tc>
          <w:tcPr>
            <w:tcW w:w="1233" w:type="dxa"/>
            <w:noWrap w:val="0"/>
            <w:vAlign w:val="top"/>
          </w:tcPr>
          <w:p w14:paraId="72A677B1">
            <w:pPr>
              <w:spacing w:line="0" w:lineRule="atLeast"/>
              <w:jc w:val="center"/>
              <w:rPr>
                <w:rFonts w:hint="eastAsia" w:ascii="宋体" w:hAnsi="宋体"/>
                <w:color w:val="auto"/>
                <w:sz w:val="24"/>
                <w:szCs w:val="24"/>
                <w:highlight w:val="none"/>
              </w:rPr>
            </w:pPr>
          </w:p>
        </w:tc>
        <w:tc>
          <w:tcPr>
            <w:tcW w:w="921" w:type="dxa"/>
            <w:noWrap w:val="0"/>
            <w:vAlign w:val="center"/>
          </w:tcPr>
          <w:p w14:paraId="5E5CFB36">
            <w:pPr>
              <w:spacing w:line="0" w:lineRule="atLeast"/>
              <w:jc w:val="center"/>
              <w:rPr>
                <w:rFonts w:hint="eastAsia" w:ascii="宋体" w:hAnsi="宋体"/>
                <w:color w:val="auto"/>
                <w:sz w:val="24"/>
                <w:szCs w:val="24"/>
                <w:highlight w:val="none"/>
              </w:rPr>
            </w:pPr>
          </w:p>
        </w:tc>
        <w:tc>
          <w:tcPr>
            <w:tcW w:w="932" w:type="dxa"/>
            <w:noWrap w:val="0"/>
            <w:vAlign w:val="center"/>
          </w:tcPr>
          <w:p w14:paraId="65D4F1EF">
            <w:pPr>
              <w:spacing w:line="0" w:lineRule="atLeast"/>
              <w:jc w:val="center"/>
              <w:rPr>
                <w:rFonts w:hint="eastAsia" w:ascii="宋体" w:hAnsi="宋体"/>
                <w:color w:val="auto"/>
                <w:sz w:val="24"/>
                <w:szCs w:val="24"/>
                <w:highlight w:val="none"/>
              </w:rPr>
            </w:pPr>
          </w:p>
        </w:tc>
        <w:tc>
          <w:tcPr>
            <w:tcW w:w="1136" w:type="dxa"/>
            <w:noWrap w:val="0"/>
            <w:vAlign w:val="center"/>
          </w:tcPr>
          <w:p w14:paraId="7EF8653D">
            <w:pPr>
              <w:spacing w:line="0" w:lineRule="atLeast"/>
              <w:jc w:val="center"/>
              <w:rPr>
                <w:rFonts w:hint="eastAsia" w:ascii="宋体" w:hAnsi="宋体"/>
                <w:color w:val="auto"/>
                <w:sz w:val="24"/>
                <w:szCs w:val="24"/>
                <w:highlight w:val="none"/>
              </w:rPr>
            </w:pPr>
          </w:p>
        </w:tc>
      </w:tr>
      <w:tr w14:paraId="5001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500" w:type="dxa"/>
            <w:noWrap w:val="0"/>
            <w:vAlign w:val="center"/>
          </w:tcPr>
          <w:p w14:paraId="612ABBFA">
            <w:pPr>
              <w:spacing w:line="0" w:lineRule="atLeast"/>
              <w:jc w:val="center"/>
              <w:rPr>
                <w:rFonts w:ascii="宋体" w:hAnsi="宋体"/>
                <w:color w:val="auto"/>
                <w:sz w:val="24"/>
                <w:szCs w:val="24"/>
                <w:highlight w:val="none"/>
              </w:rPr>
            </w:pPr>
            <w:r>
              <w:rPr>
                <w:rFonts w:ascii="宋体" w:hAnsi="宋体"/>
                <w:color w:val="auto"/>
                <w:sz w:val="24"/>
                <w:szCs w:val="24"/>
                <w:highlight w:val="none"/>
              </w:rPr>
              <w:t>…</w:t>
            </w:r>
          </w:p>
        </w:tc>
        <w:tc>
          <w:tcPr>
            <w:tcW w:w="1052" w:type="dxa"/>
            <w:noWrap w:val="0"/>
            <w:vAlign w:val="center"/>
          </w:tcPr>
          <w:p w14:paraId="64BC03A0">
            <w:pPr>
              <w:spacing w:line="0" w:lineRule="atLeast"/>
              <w:jc w:val="center"/>
              <w:rPr>
                <w:rFonts w:hint="eastAsia" w:ascii="宋体" w:hAnsi="宋体"/>
                <w:color w:val="auto"/>
                <w:sz w:val="24"/>
                <w:szCs w:val="24"/>
                <w:highlight w:val="none"/>
              </w:rPr>
            </w:pPr>
            <w:r>
              <w:rPr>
                <w:rFonts w:ascii="宋体" w:hAnsi="宋体"/>
                <w:color w:val="auto"/>
                <w:sz w:val="24"/>
                <w:szCs w:val="24"/>
                <w:highlight w:val="none"/>
              </w:rPr>
              <w:t>……</w:t>
            </w:r>
          </w:p>
        </w:tc>
        <w:tc>
          <w:tcPr>
            <w:tcW w:w="814" w:type="dxa"/>
            <w:noWrap w:val="0"/>
            <w:vAlign w:val="center"/>
          </w:tcPr>
          <w:p w14:paraId="61D5BAA6">
            <w:pPr>
              <w:spacing w:line="0" w:lineRule="atLeast"/>
              <w:jc w:val="center"/>
              <w:rPr>
                <w:rFonts w:hint="eastAsia" w:ascii="宋体" w:hAnsi="宋体"/>
                <w:color w:val="auto"/>
                <w:sz w:val="24"/>
                <w:szCs w:val="24"/>
                <w:highlight w:val="none"/>
              </w:rPr>
            </w:pPr>
          </w:p>
        </w:tc>
        <w:tc>
          <w:tcPr>
            <w:tcW w:w="1072" w:type="dxa"/>
            <w:noWrap w:val="0"/>
            <w:vAlign w:val="center"/>
          </w:tcPr>
          <w:p w14:paraId="56E81629">
            <w:pPr>
              <w:spacing w:line="0" w:lineRule="atLeast"/>
              <w:jc w:val="center"/>
              <w:rPr>
                <w:rFonts w:hint="eastAsia" w:ascii="宋体" w:hAnsi="宋体"/>
                <w:color w:val="auto"/>
                <w:sz w:val="24"/>
                <w:szCs w:val="24"/>
                <w:highlight w:val="none"/>
              </w:rPr>
            </w:pPr>
          </w:p>
        </w:tc>
        <w:tc>
          <w:tcPr>
            <w:tcW w:w="1617" w:type="dxa"/>
            <w:noWrap w:val="0"/>
            <w:vAlign w:val="center"/>
          </w:tcPr>
          <w:p w14:paraId="03DF8AED">
            <w:pPr>
              <w:spacing w:line="0" w:lineRule="atLeast"/>
              <w:jc w:val="center"/>
              <w:rPr>
                <w:rFonts w:hint="eastAsia" w:ascii="宋体" w:hAnsi="宋体"/>
                <w:color w:val="auto"/>
                <w:sz w:val="24"/>
                <w:szCs w:val="24"/>
                <w:highlight w:val="none"/>
              </w:rPr>
            </w:pPr>
          </w:p>
        </w:tc>
        <w:tc>
          <w:tcPr>
            <w:tcW w:w="1233" w:type="dxa"/>
            <w:noWrap w:val="0"/>
            <w:vAlign w:val="top"/>
          </w:tcPr>
          <w:p w14:paraId="0B396088">
            <w:pPr>
              <w:spacing w:line="0" w:lineRule="atLeast"/>
              <w:jc w:val="center"/>
              <w:rPr>
                <w:rFonts w:hint="eastAsia" w:ascii="宋体" w:hAnsi="宋体"/>
                <w:color w:val="auto"/>
                <w:sz w:val="24"/>
                <w:szCs w:val="24"/>
                <w:highlight w:val="none"/>
              </w:rPr>
            </w:pPr>
          </w:p>
        </w:tc>
        <w:tc>
          <w:tcPr>
            <w:tcW w:w="921" w:type="dxa"/>
            <w:noWrap w:val="0"/>
            <w:vAlign w:val="center"/>
          </w:tcPr>
          <w:p w14:paraId="0A9F97BA">
            <w:pPr>
              <w:spacing w:line="0" w:lineRule="atLeast"/>
              <w:jc w:val="center"/>
              <w:rPr>
                <w:rFonts w:hint="eastAsia" w:ascii="宋体" w:hAnsi="宋体"/>
                <w:color w:val="auto"/>
                <w:sz w:val="24"/>
                <w:szCs w:val="24"/>
                <w:highlight w:val="none"/>
              </w:rPr>
            </w:pPr>
          </w:p>
        </w:tc>
        <w:tc>
          <w:tcPr>
            <w:tcW w:w="932" w:type="dxa"/>
            <w:noWrap w:val="0"/>
            <w:vAlign w:val="center"/>
          </w:tcPr>
          <w:p w14:paraId="3CE47815">
            <w:pPr>
              <w:spacing w:line="0" w:lineRule="atLeast"/>
              <w:jc w:val="center"/>
              <w:rPr>
                <w:rFonts w:hint="eastAsia" w:ascii="宋体" w:hAnsi="宋体"/>
                <w:color w:val="auto"/>
                <w:sz w:val="24"/>
                <w:szCs w:val="24"/>
                <w:highlight w:val="none"/>
              </w:rPr>
            </w:pPr>
          </w:p>
        </w:tc>
        <w:tc>
          <w:tcPr>
            <w:tcW w:w="1136" w:type="dxa"/>
            <w:noWrap w:val="0"/>
            <w:vAlign w:val="center"/>
          </w:tcPr>
          <w:p w14:paraId="0E2BA71A">
            <w:pPr>
              <w:spacing w:line="0" w:lineRule="atLeast"/>
              <w:jc w:val="center"/>
              <w:rPr>
                <w:rFonts w:hint="eastAsia" w:ascii="宋体" w:hAnsi="宋体"/>
                <w:color w:val="auto"/>
                <w:sz w:val="24"/>
                <w:szCs w:val="24"/>
                <w:highlight w:val="none"/>
              </w:rPr>
            </w:pPr>
          </w:p>
        </w:tc>
      </w:tr>
      <w:tr w14:paraId="6ADF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500" w:type="dxa"/>
            <w:noWrap w:val="0"/>
            <w:vAlign w:val="center"/>
          </w:tcPr>
          <w:p w14:paraId="7952320B">
            <w:pPr>
              <w:spacing w:line="0" w:lineRule="atLeast"/>
              <w:jc w:val="center"/>
              <w:rPr>
                <w:rFonts w:ascii="宋体" w:hAnsi="宋体"/>
                <w:color w:val="auto"/>
                <w:sz w:val="24"/>
                <w:szCs w:val="24"/>
                <w:highlight w:val="none"/>
              </w:rPr>
            </w:pPr>
          </w:p>
        </w:tc>
        <w:tc>
          <w:tcPr>
            <w:tcW w:w="1052" w:type="dxa"/>
            <w:noWrap w:val="0"/>
            <w:vAlign w:val="center"/>
          </w:tcPr>
          <w:p w14:paraId="542A061E">
            <w:pPr>
              <w:spacing w:line="0" w:lineRule="atLeast"/>
              <w:jc w:val="center"/>
              <w:rPr>
                <w:rFonts w:ascii="宋体" w:hAnsi="宋体"/>
                <w:color w:val="auto"/>
                <w:sz w:val="24"/>
                <w:szCs w:val="24"/>
                <w:highlight w:val="none"/>
              </w:rPr>
            </w:pPr>
          </w:p>
        </w:tc>
        <w:tc>
          <w:tcPr>
            <w:tcW w:w="814" w:type="dxa"/>
            <w:noWrap w:val="0"/>
            <w:vAlign w:val="center"/>
          </w:tcPr>
          <w:p w14:paraId="6BF17594">
            <w:pPr>
              <w:spacing w:line="0" w:lineRule="atLeast"/>
              <w:jc w:val="center"/>
              <w:rPr>
                <w:rFonts w:hint="eastAsia" w:ascii="宋体" w:hAnsi="宋体"/>
                <w:color w:val="auto"/>
                <w:sz w:val="24"/>
                <w:szCs w:val="24"/>
                <w:highlight w:val="none"/>
              </w:rPr>
            </w:pPr>
          </w:p>
        </w:tc>
        <w:tc>
          <w:tcPr>
            <w:tcW w:w="1072" w:type="dxa"/>
            <w:noWrap w:val="0"/>
            <w:vAlign w:val="center"/>
          </w:tcPr>
          <w:p w14:paraId="07595457">
            <w:pPr>
              <w:spacing w:line="0" w:lineRule="atLeast"/>
              <w:jc w:val="center"/>
              <w:rPr>
                <w:rFonts w:hint="eastAsia" w:ascii="宋体" w:hAnsi="宋体"/>
                <w:color w:val="auto"/>
                <w:sz w:val="24"/>
                <w:szCs w:val="24"/>
                <w:highlight w:val="none"/>
              </w:rPr>
            </w:pPr>
          </w:p>
        </w:tc>
        <w:tc>
          <w:tcPr>
            <w:tcW w:w="1617" w:type="dxa"/>
            <w:noWrap w:val="0"/>
            <w:vAlign w:val="center"/>
          </w:tcPr>
          <w:p w14:paraId="3ED6C01C">
            <w:pPr>
              <w:spacing w:line="0" w:lineRule="atLeast"/>
              <w:jc w:val="center"/>
              <w:rPr>
                <w:rFonts w:hint="eastAsia" w:ascii="宋体" w:hAnsi="宋体"/>
                <w:color w:val="auto"/>
                <w:sz w:val="24"/>
                <w:szCs w:val="24"/>
                <w:highlight w:val="none"/>
              </w:rPr>
            </w:pPr>
          </w:p>
        </w:tc>
        <w:tc>
          <w:tcPr>
            <w:tcW w:w="1233" w:type="dxa"/>
            <w:noWrap w:val="0"/>
            <w:vAlign w:val="top"/>
          </w:tcPr>
          <w:p w14:paraId="3F7B6A79">
            <w:pPr>
              <w:spacing w:line="0" w:lineRule="atLeast"/>
              <w:jc w:val="center"/>
              <w:rPr>
                <w:rFonts w:hint="eastAsia" w:ascii="宋体" w:hAnsi="宋体"/>
                <w:color w:val="auto"/>
                <w:sz w:val="24"/>
                <w:szCs w:val="24"/>
                <w:highlight w:val="none"/>
              </w:rPr>
            </w:pPr>
          </w:p>
        </w:tc>
        <w:tc>
          <w:tcPr>
            <w:tcW w:w="921" w:type="dxa"/>
            <w:noWrap w:val="0"/>
            <w:vAlign w:val="center"/>
          </w:tcPr>
          <w:p w14:paraId="7CE6A73B">
            <w:pPr>
              <w:spacing w:line="0" w:lineRule="atLeast"/>
              <w:jc w:val="center"/>
              <w:rPr>
                <w:rFonts w:hint="eastAsia" w:ascii="宋体" w:hAnsi="宋体"/>
                <w:color w:val="auto"/>
                <w:sz w:val="24"/>
                <w:szCs w:val="24"/>
                <w:highlight w:val="none"/>
              </w:rPr>
            </w:pPr>
          </w:p>
        </w:tc>
        <w:tc>
          <w:tcPr>
            <w:tcW w:w="932" w:type="dxa"/>
            <w:noWrap w:val="0"/>
            <w:vAlign w:val="center"/>
          </w:tcPr>
          <w:p w14:paraId="143EFA1E">
            <w:pPr>
              <w:spacing w:line="0" w:lineRule="atLeast"/>
              <w:jc w:val="center"/>
              <w:rPr>
                <w:rFonts w:hint="eastAsia" w:ascii="宋体" w:hAnsi="宋体"/>
                <w:color w:val="auto"/>
                <w:sz w:val="24"/>
                <w:szCs w:val="24"/>
                <w:highlight w:val="none"/>
              </w:rPr>
            </w:pPr>
          </w:p>
        </w:tc>
        <w:tc>
          <w:tcPr>
            <w:tcW w:w="1136" w:type="dxa"/>
            <w:noWrap w:val="0"/>
            <w:vAlign w:val="center"/>
          </w:tcPr>
          <w:p w14:paraId="3E6A99F8">
            <w:pPr>
              <w:spacing w:line="0" w:lineRule="atLeast"/>
              <w:jc w:val="center"/>
              <w:rPr>
                <w:rFonts w:hint="eastAsia" w:ascii="宋体" w:hAnsi="宋体"/>
                <w:color w:val="auto"/>
                <w:sz w:val="24"/>
                <w:szCs w:val="24"/>
                <w:highlight w:val="none"/>
              </w:rPr>
            </w:pPr>
          </w:p>
        </w:tc>
      </w:tr>
      <w:tr w14:paraId="5CA6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trPr>
        <w:tc>
          <w:tcPr>
            <w:tcW w:w="2366" w:type="dxa"/>
            <w:gridSpan w:val="3"/>
            <w:noWrap w:val="0"/>
            <w:vAlign w:val="center"/>
          </w:tcPr>
          <w:p w14:paraId="5CEC30CB">
            <w:pPr>
              <w:pStyle w:val="390"/>
              <w:spacing w:line="500" w:lineRule="exact"/>
              <w:jc w:val="center"/>
              <w:rPr>
                <w:rFonts w:hint="eastAsia" w:ascii="宋体" w:hAnsi="宋体"/>
                <w:b/>
                <w:bCs/>
                <w:color w:val="auto"/>
                <w:sz w:val="24"/>
                <w:highlight w:val="none"/>
              </w:rPr>
            </w:pPr>
            <w:r>
              <w:rPr>
                <w:rFonts w:hint="eastAsia" w:ascii="宋体" w:hAnsi="宋体"/>
                <w:b/>
                <w:bCs/>
                <w:color w:val="auto"/>
                <w:sz w:val="28"/>
                <w:szCs w:val="28"/>
                <w:highlight w:val="none"/>
              </w:rPr>
              <w:t>投标总报价</w:t>
            </w:r>
          </w:p>
        </w:tc>
        <w:tc>
          <w:tcPr>
            <w:tcW w:w="6911" w:type="dxa"/>
            <w:gridSpan w:val="6"/>
            <w:noWrap w:val="0"/>
            <w:vAlign w:val="center"/>
          </w:tcPr>
          <w:p w14:paraId="4295756C">
            <w:pPr>
              <w:pStyle w:val="390"/>
              <w:spacing w:line="500" w:lineRule="exact"/>
              <w:rPr>
                <w:rFonts w:hint="eastAsia" w:ascii="宋体" w:hAnsi="宋体"/>
                <w:b/>
                <w:bCs/>
                <w:color w:val="auto"/>
                <w:sz w:val="24"/>
                <w:highlight w:val="none"/>
              </w:rPr>
            </w:pPr>
            <w:r>
              <w:rPr>
                <w:rFonts w:hint="eastAsia" w:ascii="宋体" w:hAnsi="宋体"/>
                <w:b/>
                <w:bCs/>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5AA85B96">
            <w:pPr>
              <w:pStyle w:val="390"/>
              <w:spacing w:line="500" w:lineRule="exact"/>
              <w:rPr>
                <w:rFonts w:hint="eastAsia" w:ascii="宋体" w:hAnsi="宋体"/>
                <w:b/>
                <w:bCs/>
                <w:color w:val="auto"/>
                <w:sz w:val="24"/>
                <w:highlight w:val="none"/>
              </w:rPr>
            </w:pPr>
            <w:r>
              <w:rPr>
                <w:rFonts w:hint="eastAsia" w:ascii="宋体" w:hAnsi="宋体"/>
                <w:b/>
                <w:bCs/>
                <w:color w:val="auto"/>
                <w:sz w:val="24"/>
                <w:highlight w:val="none"/>
              </w:rPr>
              <w:t>人民币（大写）：</w:t>
            </w:r>
            <w:r>
              <w:rPr>
                <w:rFonts w:hint="eastAsia" w:ascii="宋体" w:hAnsi="宋体"/>
                <w:b/>
                <w:bCs/>
                <w:color w:val="auto"/>
                <w:sz w:val="24"/>
                <w:highlight w:val="none"/>
                <w:u w:val="single"/>
              </w:rPr>
              <w:t xml:space="preserve"> </w:t>
            </w:r>
            <w:r>
              <w:rPr>
                <w:rFonts w:ascii="宋体" w:hAnsi="宋体"/>
                <w:b/>
                <w:bCs/>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仟     </w:t>
            </w:r>
            <w:r>
              <w:rPr>
                <w:rFonts w:hint="eastAsia" w:ascii="宋体" w:hAnsi="宋体"/>
                <w:bCs/>
                <w:color w:val="auto"/>
                <w:sz w:val="24"/>
                <w:highlight w:val="none"/>
              </w:rPr>
              <w:t>佰</w:t>
            </w:r>
            <w:r>
              <w:rPr>
                <w:rFonts w:hint="eastAsia" w:ascii="宋体" w:hAnsi="宋体"/>
                <w:color w:val="auto"/>
                <w:sz w:val="24"/>
                <w:highlight w:val="none"/>
                <w:u w:val="single"/>
              </w:rPr>
              <w:t xml:space="preserve">    </w:t>
            </w:r>
            <w:r>
              <w:rPr>
                <w:rFonts w:hint="eastAsia" w:ascii="宋体" w:hAnsi="宋体"/>
                <w:bCs/>
                <w:color w:val="auto"/>
                <w:sz w:val="24"/>
                <w:highlight w:val="none"/>
              </w:rPr>
              <w:t>拾</w:t>
            </w:r>
            <w:r>
              <w:rPr>
                <w:rFonts w:hint="eastAsia" w:ascii="宋体" w:hAnsi="宋体"/>
                <w:color w:val="auto"/>
                <w:sz w:val="24"/>
                <w:highlight w:val="none"/>
                <w:u w:val="single"/>
              </w:rPr>
              <w:t xml:space="preserve">    </w:t>
            </w:r>
            <w:r>
              <w:rPr>
                <w:rFonts w:hint="eastAsia" w:ascii="宋体" w:hAnsi="宋体"/>
                <w:bCs/>
                <w:color w:val="auto"/>
                <w:sz w:val="24"/>
                <w:highlight w:val="none"/>
              </w:rPr>
              <w:t xml:space="preserve"> 万</w:t>
            </w:r>
            <w:r>
              <w:rPr>
                <w:rFonts w:hint="eastAsia" w:ascii="宋体" w:hAnsi="宋体"/>
                <w:bCs/>
                <w:color w:val="auto"/>
                <w:sz w:val="24"/>
                <w:highlight w:val="none"/>
                <w:u w:val="single"/>
              </w:rPr>
              <w:t xml:space="preserve">    </w:t>
            </w:r>
            <w:r>
              <w:rPr>
                <w:rFonts w:hint="eastAsia" w:ascii="宋体" w:hAnsi="宋体"/>
                <w:bCs/>
                <w:color w:val="auto"/>
                <w:sz w:val="24"/>
                <w:highlight w:val="none"/>
              </w:rPr>
              <w:t>仟</w:t>
            </w:r>
            <w:r>
              <w:rPr>
                <w:rFonts w:hint="eastAsia" w:ascii="宋体" w:hAnsi="宋体"/>
                <w:color w:val="auto"/>
                <w:sz w:val="24"/>
                <w:highlight w:val="none"/>
                <w:u w:val="single"/>
              </w:rPr>
              <w:t xml:space="preserve">      </w:t>
            </w:r>
            <w:r>
              <w:rPr>
                <w:rFonts w:hint="eastAsia" w:ascii="宋体" w:hAnsi="宋体"/>
                <w:bCs/>
                <w:color w:val="auto"/>
                <w:sz w:val="24"/>
                <w:highlight w:val="none"/>
              </w:rPr>
              <w:t>佰</w:t>
            </w:r>
            <w:r>
              <w:rPr>
                <w:rFonts w:hint="eastAsia" w:ascii="宋体" w:hAnsi="宋体"/>
                <w:color w:val="auto"/>
                <w:sz w:val="24"/>
                <w:highlight w:val="none"/>
                <w:u w:val="single"/>
              </w:rPr>
              <w:t xml:space="preserve">      </w:t>
            </w:r>
            <w:r>
              <w:rPr>
                <w:rFonts w:hint="eastAsia" w:ascii="宋体" w:hAnsi="宋体"/>
                <w:bCs/>
                <w:color w:val="auto"/>
                <w:sz w:val="24"/>
                <w:highlight w:val="none"/>
              </w:rPr>
              <w:t>拾</w:t>
            </w:r>
            <w:r>
              <w:rPr>
                <w:rFonts w:hint="eastAsia" w:ascii="宋体" w:hAnsi="宋体"/>
                <w:color w:val="auto"/>
                <w:sz w:val="24"/>
                <w:highlight w:val="none"/>
                <w:u w:val="single"/>
              </w:rPr>
              <w:t xml:space="preserve">     </w:t>
            </w:r>
            <w:r>
              <w:rPr>
                <w:rFonts w:hint="eastAsia" w:ascii="宋体" w:hAnsi="宋体"/>
                <w:bCs/>
                <w:color w:val="auto"/>
                <w:sz w:val="24"/>
                <w:highlight w:val="none"/>
              </w:rPr>
              <w:t>元</w:t>
            </w:r>
            <w:r>
              <w:rPr>
                <w:rFonts w:hint="eastAsia" w:ascii="宋体" w:hAnsi="宋体"/>
                <w:color w:val="auto"/>
                <w:sz w:val="24"/>
                <w:highlight w:val="none"/>
                <w:u w:val="single"/>
              </w:rPr>
              <w:t xml:space="preserve">      </w:t>
            </w:r>
            <w:r>
              <w:rPr>
                <w:rFonts w:hint="eastAsia" w:ascii="宋体" w:hAnsi="宋体"/>
                <w:bCs/>
                <w:color w:val="auto"/>
                <w:sz w:val="24"/>
                <w:highlight w:val="none"/>
              </w:rPr>
              <w:t>角</w:t>
            </w:r>
            <w:r>
              <w:rPr>
                <w:rFonts w:hint="eastAsia" w:ascii="宋体" w:hAnsi="宋体"/>
                <w:color w:val="auto"/>
                <w:sz w:val="24"/>
                <w:highlight w:val="none"/>
                <w:u w:val="single"/>
              </w:rPr>
              <w:t xml:space="preserve">      </w:t>
            </w:r>
            <w:r>
              <w:rPr>
                <w:rFonts w:hint="eastAsia" w:ascii="宋体" w:hAnsi="宋体"/>
                <w:bCs/>
                <w:color w:val="auto"/>
                <w:sz w:val="24"/>
                <w:highlight w:val="none"/>
              </w:rPr>
              <w:t>分</w:t>
            </w:r>
          </w:p>
        </w:tc>
      </w:tr>
    </w:tbl>
    <w:p w14:paraId="4C02B6CD">
      <w:pPr>
        <w:spacing w:line="480" w:lineRule="exact"/>
        <w:rPr>
          <w:rFonts w:ascii="宋体" w:hAnsi="宋体"/>
          <w:color w:val="auto"/>
          <w:sz w:val="24"/>
          <w:szCs w:val="24"/>
          <w:highlight w:val="none"/>
        </w:rPr>
      </w:pPr>
      <w:r>
        <w:rPr>
          <w:rFonts w:hint="eastAsia" w:ascii="宋体" w:hAnsi="宋体"/>
          <w:color w:val="auto"/>
          <w:sz w:val="24"/>
          <w:szCs w:val="24"/>
          <w:highlight w:val="none"/>
        </w:rPr>
        <w:t>备注：“投标总报价”数额应当与“开标一览表”中“投标总报价”数额一致。</w:t>
      </w:r>
    </w:p>
    <w:p w14:paraId="050A07CC">
      <w:pPr>
        <w:spacing w:line="480" w:lineRule="exact"/>
        <w:rPr>
          <w:color w:val="auto"/>
          <w:highlight w:val="none"/>
        </w:rPr>
      </w:pPr>
    </w:p>
    <w:p w14:paraId="0EFC4ADD">
      <w:pPr>
        <w:rPr>
          <w:color w:val="auto"/>
          <w:highlight w:val="none"/>
        </w:rPr>
      </w:pPr>
    </w:p>
    <w:p w14:paraId="3D54F58E">
      <w:pPr>
        <w:rPr>
          <w:color w:val="auto"/>
          <w:highlight w:val="none"/>
        </w:rPr>
      </w:pPr>
    </w:p>
    <w:p w14:paraId="79467944">
      <w:pPr>
        <w:rPr>
          <w:color w:val="auto"/>
          <w:highlight w:val="none"/>
        </w:rPr>
      </w:pPr>
    </w:p>
    <w:p w14:paraId="5230B014">
      <w:pPr>
        <w:rPr>
          <w:color w:val="auto"/>
          <w:highlight w:val="none"/>
        </w:rPr>
      </w:pPr>
    </w:p>
    <w:p w14:paraId="0B147813">
      <w:pPr>
        <w:rPr>
          <w:color w:val="auto"/>
          <w:highlight w:val="none"/>
        </w:rPr>
      </w:pPr>
    </w:p>
    <w:p w14:paraId="011B2EAE">
      <w:pPr>
        <w:pStyle w:val="293"/>
        <w:jc w:val="center"/>
        <w:rPr>
          <w:rFonts w:ascii="方正小标宋_GBK" w:eastAsia="方正小标宋_GBK"/>
          <w:bCs/>
          <w:color w:val="auto"/>
          <w:sz w:val="32"/>
          <w:szCs w:val="32"/>
          <w:highlight w:val="none"/>
        </w:rPr>
      </w:pPr>
    </w:p>
    <w:p w14:paraId="31374BBF">
      <w:pPr>
        <w:pStyle w:val="293"/>
        <w:jc w:val="center"/>
        <w:rPr>
          <w:rFonts w:ascii="方正小标宋_GBK" w:eastAsia="方正小标宋_GBK"/>
          <w:bCs/>
          <w:color w:val="auto"/>
          <w:sz w:val="32"/>
          <w:szCs w:val="32"/>
          <w:highlight w:val="none"/>
        </w:rPr>
      </w:pPr>
    </w:p>
    <w:p w14:paraId="6F4CFB00">
      <w:pPr>
        <w:pStyle w:val="293"/>
        <w:jc w:val="center"/>
        <w:rPr>
          <w:rFonts w:ascii="方正小标宋_GBK" w:eastAsia="方正小标宋_GBK"/>
          <w:bCs/>
          <w:color w:val="auto"/>
          <w:sz w:val="32"/>
          <w:szCs w:val="32"/>
          <w:highlight w:val="none"/>
        </w:rPr>
      </w:pPr>
    </w:p>
    <w:p w14:paraId="2A2A85BA">
      <w:pPr>
        <w:pStyle w:val="293"/>
        <w:jc w:val="center"/>
        <w:rPr>
          <w:rFonts w:ascii="方正小标宋_GBK" w:eastAsia="方正小标宋_GBK"/>
          <w:bCs/>
          <w:color w:val="auto"/>
          <w:sz w:val="32"/>
          <w:szCs w:val="32"/>
          <w:highlight w:val="none"/>
        </w:rPr>
      </w:pPr>
    </w:p>
    <w:p w14:paraId="68158D65">
      <w:pPr>
        <w:pStyle w:val="293"/>
        <w:jc w:val="center"/>
        <w:rPr>
          <w:rFonts w:ascii="方正小标宋_GBK" w:eastAsia="方正小标宋_GBK"/>
          <w:bCs/>
          <w:color w:val="auto"/>
          <w:sz w:val="32"/>
          <w:szCs w:val="32"/>
          <w:highlight w:val="none"/>
        </w:rPr>
      </w:pPr>
    </w:p>
    <w:p w14:paraId="0A160732">
      <w:pPr>
        <w:pStyle w:val="293"/>
        <w:jc w:val="center"/>
        <w:rPr>
          <w:rFonts w:ascii="方正小标宋_GBK" w:eastAsia="方正小标宋_GBK"/>
          <w:bCs/>
          <w:color w:val="auto"/>
          <w:sz w:val="32"/>
          <w:szCs w:val="32"/>
          <w:highlight w:val="none"/>
        </w:rPr>
      </w:pPr>
    </w:p>
    <w:p w14:paraId="7B2D8F1C">
      <w:pPr>
        <w:pStyle w:val="293"/>
        <w:jc w:val="center"/>
        <w:rPr>
          <w:rFonts w:ascii="方正小标宋_GBK" w:eastAsia="方正小标宋_GBK"/>
          <w:bCs/>
          <w:color w:val="auto"/>
          <w:sz w:val="32"/>
          <w:szCs w:val="32"/>
          <w:highlight w:val="none"/>
        </w:rPr>
      </w:pPr>
    </w:p>
    <w:p w14:paraId="4DF4FA8A">
      <w:pPr>
        <w:pStyle w:val="293"/>
        <w:jc w:val="center"/>
        <w:rPr>
          <w:rFonts w:hint="eastAsia" w:ascii="方正小标宋_GBK" w:eastAsia="方正小标宋_GBK"/>
          <w:bCs/>
          <w:color w:val="auto"/>
          <w:sz w:val="32"/>
          <w:szCs w:val="32"/>
          <w:highlight w:val="none"/>
        </w:rPr>
      </w:pPr>
    </w:p>
    <w:p w14:paraId="79F4CEBE">
      <w:pPr>
        <w:pStyle w:val="293"/>
        <w:jc w:val="center"/>
        <w:rPr>
          <w:rFonts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分项报价表</w:t>
      </w:r>
    </w:p>
    <w:p w14:paraId="65E32BAA">
      <w:pPr>
        <w:pStyle w:val="293"/>
        <w:jc w:val="center"/>
        <w:rPr>
          <w:rFonts w:hint="eastAsia"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（服务类）</w:t>
      </w:r>
    </w:p>
    <w:tbl>
      <w:tblPr>
        <w:tblStyle w:val="53"/>
        <w:tblW w:w="8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407"/>
        <w:gridCol w:w="2266"/>
        <w:gridCol w:w="1134"/>
        <w:gridCol w:w="992"/>
        <w:gridCol w:w="1541"/>
        <w:gridCol w:w="991"/>
      </w:tblGrid>
      <w:tr w14:paraId="51A9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654" w:type="dxa"/>
            <w:tcBorders>
              <w:top w:val="single" w:color="auto" w:sz="4" w:space="0"/>
              <w:left w:val="single" w:color="auto" w:sz="4" w:space="0"/>
              <w:bottom w:val="single" w:color="auto" w:sz="4" w:space="0"/>
              <w:right w:val="single" w:color="auto" w:sz="4" w:space="0"/>
            </w:tcBorders>
            <w:noWrap w:val="0"/>
            <w:vAlign w:val="center"/>
          </w:tcPr>
          <w:p w14:paraId="04551715">
            <w:pPr>
              <w:pStyle w:val="390"/>
              <w:widowControl/>
              <w:adjustRightInd w:val="0"/>
              <w:snapToGrid w:val="0"/>
              <w:spacing w:line="360" w:lineRule="exact"/>
              <w:jc w:val="center"/>
              <w:rPr>
                <w:rFonts w:hint="eastAsia" w:ascii="宋体" w:hAnsi="宋体"/>
                <w:color w:val="auto"/>
                <w:sz w:val="28"/>
                <w:szCs w:val="28"/>
                <w:highlight w:val="none"/>
              </w:rPr>
            </w:pPr>
            <w:bookmarkStart w:id="166" w:name="_Toc17418"/>
            <w:r>
              <w:rPr>
                <w:rFonts w:hint="eastAsia" w:ascii="宋体" w:hAnsi="宋体"/>
                <w:color w:val="auto"/>
                <w:sz w:val="28"/>
                <w:szCs w:val="28"/>
                <w:highlight w:val="none"/>
              </w:rPr>
              <w:t>序号</w:t>
            </w:r>
          </w:p>
        </w:tc>
        <w:tc>
          <w:tcPr>
            <w:tcW w:w="3673" w:type="dxa"/>
            <w:gridSpan w:val="2"/>
            <w:tcBorders>
              <w:top w:val="single" w:color="auto" w:sz="4" w:space="0"/>
              <w:left w:val="single" w:color="auto" w:sz="4" w:space="0"/>
              <w:bottom w:val="single" w:color="auto" w:sz="4" w:space="0"/>
              <w:right w:val="single" w:color="auto" w:sz="4" w:space="0"/>
            </w:tcBorders>
            <w:noWrap w:val="0"/>
            <w:vAlign w:val="center"/>
          </w:tcPr>
          <w:p w14:paraId="5DB723A9">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服务费用简述</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9E4A9CF">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单价</w:t>
            </w:r>
          </w:p>
          <w:p w14:paraId="40EC6C1A">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（元）</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70ED7938">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数量</w:t>
            </w:r>
          </w:p>
        </w:tc>
        <w:tc>
          <w:tcPr>
            <w:tcW w:w="1541" w:type="dxa"/>
            <w:tcBorders>
              <w:top w:val="single" w:color="auto" w:sz="4" w:space="0"/>
              <w:left w:val="single" w:color="auto" w:sz="4" w:space="0"/>
              <w:bottom w:val="single" w:color="auto" w:sz="4" w:space="0"/>
              <w:right w:val="single" w:color="auto" w:sz="4" w:space="0"/>
            </w:tcBorders>
            <w:noWrap w:val="0"/>
            <w:vAlign w:val="center"/>
          </w:tcPr>
          <w:p w14:paraId="20AABEF0">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合价</w:t>
            </w:r>
          </w:p>
          <w:p w14:paraId="5CDCDB2D">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（元）</w:t>
            </w:r>
          </w:p>
        </w:tc>
        <w:tc>
          <w:tcPr>
            <w:tcW w:w="991" w:type="dxa"/>
            <w:tcBorders>
              <w:top w:val="single" w:color="auto" w:sz="4" w:space="0"/>
              <w:left w:val="single" w:color="auto" w:sz="4" w:space="0"/>
              <w:bottom w:val="single" w:color="auto" w:sz="4" w:space="0"/>
              <w:right w:val="single" w:color="auto" w:sz="4" w:space="0"/>
            </w:tcBorders>
            <w:noWrap w:val="0"/>
            <w:vAlign w:val="center"/>
          </w:tcPr>
          <w:p w14:paraId="3D212B7F">
            <w:pPr>
              <w:pStyle w:val="390"/>
              <w:widowControl/>
              <w:adjustRightInd w:val="0"/>
              <w:snapToGrid w:val="0"/>
              <w:spacing w:line="360" w:lineRule="exact"/>
              <w:jc w:val="center"/>
              <w:rPr>
                <w:rFonts w:hint="eastAsia" w:ascii="宋体" w:hAnsi="宋体"/>
                <w:color w:val="auto"/>
                <w:sz w:val="28"/>
                <w:szCs w:val="28"/>
                <w:highlight w:val="none"/>
              </w:rPr>
            </w:pPr>
            <w:r>
              <w:rPr>
                <w:rFonts w:hint="eastAsia" w:ascii="宋体" w:hAnsi="宋体"/>
                <w:color w:val="auto"/>
                <w:sz w:val="28"/>
                <w:szCs w:val="28"/>
                <w:highlight w:val="none"/>
              </w:rPr>
              <w:t>备注</w:t>
            </w:r>
          </w:p>
        </w:tc>
      </w:tr>
      <w:tr w14:paraId="5655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3EF9C27B">
            <w:pPr>
              <w:pStyle w:val="390"/>
              <w:widowControl/>
              <w:spacing w:line="560" w:lineRule="exact"/>
              <w:jc w:val="center"/>
              <w:rPr>
                <w:rFonts w:hint="eastAsia" w:ascii="宋体" w:hAnsi="宋体"/>
                <w:color w:val="auto"/>
                <w:sz w:val="28"/>
                <w:szCs w:val="28"/>
                <w:highlight w:val="none"/>
              </w:rPr>
            </w:pPr>
            <w:r>
              <w:rPr>
                <w:rFonts w:hint="eastAsia" w:ascii="宋体" w:hAnsi="宋体"/>
                <w:color w:val="auto"/>
                <w:sz w:val="28"/>
                <w:szCs w:val="28"/>
                <w:highlight w:val="none"/>
              </w:rPr>
              <w:t>1</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4D1194E3">
            <w:pPr>
              <w:pStyle w:val="390"/>
              <w:widowControl/>
              <w:spacing w:line="560" w:lineRule="exact"/>
              <w:jc w:val="center"/>
              <w:rPr>
                <w:rFonts w:hint="eastAsia"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669878B2">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1683B887">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4FC0F651">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77336AB5">
            <w:pPr>
              <w:pStyle w:val="390"/>
              <w:spacing w:line="560" w:lineRule="exact"/>
              <w:jc w:val="center"/>
              <w:rPr>
                <w:rFonts w:ascii="仿宋_GB2312" w:hAnsi="仿宋_GB2312"/>
                <w:color w:val="auto"/>
                <w:sz w:val="24"/>
                <w:highlight w:val="none"/>
              </w:rPr>
            </w:pPr>
          </w:p>
        </w:tc>
      </w:tr>
      <w:tr w14:paraId="6776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29BB9F09">
            <w:pPr>
              <w:pStyle w:val="390"/>
              <w:widowControl/>
              <w:spacing w:line="560" w:lineRule="exact"/>
              <w:jc w:val="center"/>
              <w:rPr>
                <w:rFonts w:ascii="宋体" w:hAnsi="宋体"/>
                <w:color w:val="auto"/>
                <w:sz w:val="28"/>
                <w:szCs w:val="28"/>
                <w:highlight w:val="none"/>
              </w:rPr>
            </w:pPr>
            <w:r>
              <w:rPr>
                <w:rFonts w:hint="eastAsia" w:ascii="宋体" w:hAnsi="宋体"/>
                <w:color w:val="auto"/>
                <w:sz w:val="28"/>
                <w:szCs w:val="28"/>
                <w:highlight w:val="none"/>
              </w:rPr>
              <w:t>2</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25D91612">
            <w:pPr>
              <w:pStyle w:val="390"/>
              <w:widowControl/>
              <w:spacing w:line="560" w:lineRule="exact"/>
              <w:jc w:val="center"/>
              <w:rPr>
                <w:rFonts w:hint="eastAsia"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435C0FC">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0CE0DF8A">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9173209">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0D51D7C4">
            <w:pPr>
              <w:pStyle w:val="390"/>
              <w:spacing w:line="560" w:lineRule="exact"/>
              <w:jc w:val="center"/>
              <w:rPr>
                <w:rFonts w:ascii="仿宋_GB2312" w:hAnsi="仿宋_GB2312"/>
                <w:color w:val="auto"/>
                <w:sz w:val="24"/>
                <w:highlight w:val="none"/>
              </w:rPr>
            </w:pPr>
          </w:p>
        </w:tc>
      </w:tr>
      <w:tr w14:paraId="5F83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675FEF0F">
            <w:pPr>
              <w:pStyle w:val="390"/>
              <w:widowControl/>
              <w:spacing w:line="560" w:lineRule="exact"/>
              <w:jc w:val="center"/>
              <w:rPr>
                <w:rFonts w:ascii="宋体" w:hAnsi="宋体"/>
                <w:color w:val="auto"/>
                <w:sz w:val="28"/>
                <w:szCs w:val="28"/>
                <w:highlight w:val="none"/>
              </w:rPr>
            </w:pPr>
            <w:r>
              <w:rPr>
                <w:rFonts w:hint="eastAsia" w:ascii="宋体" w:hAnsi="宋体"/>
                <w:color w:val="auto"/>
                <w:sz w:val="28"/>
                <w:szCs w:val="28"/>
                <w:highlight w:val="none"/>
              </w:rPr>
              <w:t>3</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6B431228">
            <w:pPr>
              <w:pStyle w:val="390"/>
              <w:widowControl/>
              <w:spacing w:line="560" w:lineRule="exact"/>
              <w:jc w:val="center"/>
              <w:rPr>
                <w:rFonts w:hint="eastAsia"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5DAC8CE">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343C5731">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F46D229">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5F647C58">
            <w:pPr>
              <w:pStyle w:val="390"/>
              <w:spacing w:line="560" w:lineRule="exact"/>
              <w:jc w:val="center"/>
              <w:rPr>
                <w:rFonts w:ascii="仿宋_GB2312" w:hAnsi="仿宋_GB2312"/>
                <w:color w:val="auto"/>
                <w:sz w:val="24"/>
                <w:highlight w:val="none"/>
              </w:rPr>
            </w:pPr>
          </w:p>
        </w:tc>
      </w:tr>
      <w:tr w14:paraId="0575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6CA848E6">
            <w:pPr>
              <w:pStyle w:val="390"/>
              <w:widowControl/>
              <w:spacing w:line="560" w:lineRule="exact"/>
              <w:jc w:val="center"/>
              <w:rPr>
                <w:rFonts w:ascii="宋体" w:hAnsi="宋体"/>
                <w:color w:val="auto"/>
                <w:sz w:val="28"/>
                <w:szCs w:val="28"/>
                <w:highlight w:val="none"/>
              </w:rPr>
            </w:pPr>
            <w:r>
              <w:rPr>
                <w:rFonts w:hint="eastAsia" w:ascii="宋体" w:hAnsi="宋体"/>
                <w:color w:val="auto"/>
                <w:sz w:val="28"/>
                <w:szCs w:val="28"/>
                <w:highlight w:val="none"/>
              </w:rPr>
              <w:t>4</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0F8171E5">
            <w:pPr>
              <w:pStyle w:val="390"/>
              <w:widowControl/>
              <w:spacing w:line="560" w:lineRule="exact"/>
              <w:jc w:val="center"/>
              <w:rPr>
                <w:rFonts w:hint="eastAsia"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D039682">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42D108AB">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2E64DB3">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5946F0E8">
            <w:pPr>
              <w:pStyle w:val="390"/>
              <w:spacing w:line="560" w:lineRule="exact"/>
              <w:jc w:val="center"/>
              <w:rPr>
                <w:rFonts w:ascii="仿宋_GB2312" w:hAnsi="仿宋_GB2312"/>
                <w:color w:val="auto"/>
                <w:sz w:val="24"/>
                <w:highlight w:val="none"/>
              </w:rPr>
            </w:pPr>
          </w:p>
        </w:tc>
      </w:tr>
      <w:tr w14:paraId="0395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14932CA4">
            <w:pPr>
              <w:pStyle w:val="390"/>
              <w:widowControl/>
              <w:spacing w:line="560" w:lineRule="exact"/>
              <w:jc w:val="center"/>
              <w:rPr>
                <w:rFonts w:ascii="宋体" w:hAnsi="宋体"/>
                <w:color w:val="auto"/>
                <w:sz w:val="28"/>
                <w:szCs w:val="28"/>
                <w:highlight w:val="none"/>
              </w:rPr>
            </w:pPr>
            <w:r>
              <w:rPr>
                <w:rFonts w:hint="eastAsia" w:ascii="宋体" w:hAnsi="宋体"/>
                <w:color w:val="auto"/>
                <w:sz w:val="28"/>
                <w:szCs w:val="28"/>
                <w:highlight w:val="none"/>
              </w:rPr>
              <w:t>5</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0A29DF79">
            <w:pPr>
              <w:pStyle w:val="390"/>
              <w:widowControl/>
              <w:spacing w:line="560" w:lineRule="exact"/>
              <w:jc w:val="center"/>
              <w:rPr>
                <w:rFonts w:hint="eastAsia"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5FC1855">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2CF078B1">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79C9F056">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26EC0152">
            <w:pPr>
              <w:pStyle w:val="390"/>
              <w:spacing w:line="560" w:lineRule="exact"/>
              <w:jc w:val="center"/>
              <w:rPr>
                <w:rFonts w:ascii="仿宋_GB2312" w:hAnsi="仿宋_GB2312"/>
                <w:color w:val="auto"/>
                <w:sz w:val="24"/>
                <w:highlight w:val="none"/>
              </w:rPr>
            </w:pPr>
          </w:p>
        </w:tc>
      </w:tr>
      <w:tr w14:paraId="0E381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654" w:type="dxa"/>
            <w:tcBorders>
              <w:top w:val="single" w:color="auto" w:sz="4" w:space="0"/>
              <w:left w:val="single" w:color="auto" w:sz="4" w:space="0"/>
              <w:bottom w:val="single" w:color="auto" w:sz="4" w:space="0"/>
              <w:right w:val="single" w:color="auto" w:sz="4" w:space="0"/>
            </w:tcBorders>
            <w:noWrap w:val="0"/>
            <w:vAlign w:val="top"/>
          </w:tcPr>
          <w:p w14:paraId="29F61D19">
            <w:pPr>
              <w:pStyle w:val="390"/>
              <w:widowControl/>
              <w:spacing w:line="560" w:lineRule="exact"/>
              <w:rPr>
                <w:rFonts w:ascii="仿宋_GB2312" w:hAnsi="仿宋_GB2312"/>
                <w:color w:val="auto"/>
                <w:sz w:val="28"/>
                <w:szCs w:val="28"/>
                <w:highlight w:val="none"/>
              </w:rPr>
            </w:pPr>
            <w:r>
              <w:rPr>
                <w:rFonts w:ascii="仿宋_GB2312" w:eastAsia="仿宋_GB2312"/>
                <w:color w:val="auto"/>
                <w:sz w:val="28"/>
                <w:szCs w:val="28"/>
                <w:highlight w:val="none"/>
              </w:rPr>
              <w:t>…</w:t>
            </w:r>
          </w:p>
        </w:tc>
        <w:tc>
          <w:tcPr>
            <w:tcW w:w="3673" w:type="dxa"/>
            <w:gridSpan w:val="2"/>
            <w:tcBorders>
              <w:top w:val="single" w:color="auto" w:sz="4" w:space="0"/>
              <w:left w:val="single" w:color="auto" w:sz="4" w:space="0"/>
              <w:bottom w:val="single" w:color="auto" w:sz="4" w:space="0"/>
              <w:right w:val="single" w:color="auto" w:sz="4" w:space="0"/>
            </w:tcBorders>
            <w:noWrap w:val="0"/>
            <w:vAlign w:val="top"/>
          </w:tcPr>
          <w:p w14:paraId="016E1444">
            <w:pPr>
              <w:pStyle w:val="390"/>
              <w:widowControl/>
              <w:spacing w:line="560" w:lineRule="exact"/>
              <w:jc w:val="center"/>
              <w:rPr>
                <w:rFonts w:ascii="仿宋_GB2312" w:hAnsi="仿宋_GB2312"/>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E757A50">
            <w:pPr>
              <w:pStyle w:val="390"/>
              <w:spacing w:line="560" w:lineRule="exact"/>
              <w:jc w:val="center"/>
              <w:rPr>
                <w:rFonts w:ascii="仿宋_GB2312" w:hAnsi="仿宋_GB2312"/>
                <w:color w:val="auto"/>
                <w:sz w:val="24"/>
                <w:highlight w:val="none"/>
              </w:rPr>
            </w:pPr>
          </w:p>
        </w:tc>
        <w:tc>
          <w:tcPr>
            <w:tcW w:w="992" w:type="dxa"/>
            <w:tcBorders>
              <w:top w:val="single" w:color="auto" w:sz="4" w:space="0"/>
              <w:left w:val="single" w:color="auto" w:sz="4" w:space="0"/>
              <w:bottom w:val="single" w:color="auto" w:sz="4" w:space="0"/>
              <w:right w:val="single" w:color="auto" w:sz="4" w:space="0"/>
            </w:tcBorders>
            <w:noWrap w:val="0"/>
            <w:vAlign w:val="top"/>
          </w:tcPr>
          <w:p w14:paraId="21503A04">
            <w:pPr>
              <w:pStyle w:val="390"/>
              <w:widowControl/>
              <w:spacing w:line="560" w:lineRule="exact"/>
              <w:jc w:val="center"/>
              <w:rPr>
                <w:rFonts w:ascii="仿宋_GB2312" w:hAnsi="仿宋_GB2312"/>
                <w:color w:val="auto"/>
                <w:sz w:val="24"/>
                <w:highlight w:val="none"/>
              </w:rPr>
            </w:pPr>
          </w:p>
        </w:tc>
        <w:tc>
          <w:tcPr>
            <w:tcW w:w="1541" w:type="dxa"/>
            <w:tcBorders>
              <w:top w:val="single" w:color="auto" w:sz="4" w:space="0"/>
              <w:left w:val="single" w:color="auto" w:sz="4" w:space="0"/>
              <w:bottom w:val="single" w:color="auto" w:sz="4" w:space="0"/>
              <w:right w:val="single" w:color="auto" w:sz="4" w:space="0"/>
            </w:tcBorders>
            <w:noWrap w:val="0"/>
            <w:vAlign w:val="center"/>
          </w:tcPr>
          <w:p w14:paraId="068D6FD7">
            <w:pPr>
              <w:pStyle w:val="390"/>
              <w:spacing w:line="560" w:lineRule="exact"/>
              <w:jc w:val="center"/>
              <w:rPr>
                <w:rFonts w:ascii="仿宋_GB2312" w:hAnsi="仿宋_GB2312"/>
                <w:color w:val="auto"/>
                <w:sz w:val="24"/>
                <w:highlight w:val="none"/>
              </w:rPr>
            </w:pPr>
          </w:p>
        </w:tc>
        <w:tc>
          <w:tcPr>
            <w:tcW w:w="991" w:type="dxa"/>
            <w:tcBorders>
              <w:top w:val="single" w:color="auto" w:sz="4" w:space="0"/>
              <w:left w:val="single" w:color="auto" w:sz="4" w:space="0"/>
              <w:bottom w:val="single" w:color="auto" w:sz="4" w:space="0"/>
              <w:right w:val="single" w:color="auto" w:sz="4" w:space="0"/>
            </w:tcBorders>
            <w:noWrap w:val="0"/>
            <w:vAlign w:val="center"/>
          </w:tcPr>
          <w:p w14:paraId="5C3ED191">
            <w:pPr>
              <w:pStyle w:val="390"/>
              <w:spacing w:line="560" w:lineRule="exact"/>
              <w:jc w:val="center"/>
              <w:rPr>
                <w:rFonts w:ascii="仿宋_GB2312" w:hAnsi="仿宋_GB2312"/>
                <w:color w:val="auto"/>
                <w:sz w:val="24"/>
                <w:highlight w:val="none"/>
              </w:rPr>
            </w:pPr>
          </w:p>
        </w:tc>
      </w:tr>
      <w:tr w14:paraId="1BA9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6" w:hRule="atLeast"/>
        </w:trPr>
        <w:tc>
          <w:tcPr>
            <w:tcW w:w="2061" w:type="dxa"/>
            <w:gridSpan w:val="2"/>
            <w:tcBorders>
              <w:top w:val="single" w:color="auto" w:sz="4" w:space="0"/>
              <w:left w:val="single" w:color="auto" w:sz="4" w:space="0"/>
              <w:bottom w:val="single" w:color="auto" w:sz="4" w:space="0"/>
              <w:right w:val="single" w:color="auto" w:sz="4" w:space="0"/>
            </w:tcBorders>
            <w:noWrap w:val="0"/>
            <w:vAlign w:val="center"/>
          </w:tcPr>
          <w:p w14:paraId="66914569">
            <w:pPr>
              <w:pStyle w:val="390"/>
              <w:spacing w:line="500" w:lineRule="exact"/>
              <w:jc w:val="center"/>
              <w:rPr>
                <w:rFonts w:ascii="宋体" w:hAnsi="宋体"/>
                <w:b/>
                <w:bCs/>
                <w:color w:val="auto"/>
                <w:sz w:val="24"/>
                <w:highlight w:val="none"/>
              </w:rPr>
            </w:pPr>
            <w:r>
              <w:rPr>
                <w:rFonts w:hint="eastAsia" w:ascii="宋体" w:hAnsi="宋体"/>
                <w:b/>
                <w:bCs/>
                <w:color w:val="auto"/>
                <w:sz w:val="28"/>
                <w:szCs w:val="28"/>
                <w:highlight w:val="none"/>
              </w:rPr>
              <w:t>投标总报价</w:t>
            </w:r>
          </w:p>
        </w:tc>
        <w:tc>
          <w:tcPr>
            <w:tcW w:w="6924" w:type="dxa"/>
            <w:gridSpan w:val="5"/>
            <w:tcBorders>
              <w:top w:val="single" w:color="auto" w:sz="4" w:space="0"/>
              <w:left w:val="single" w:color="auto" w:sz="4" w:space="0"/>
              <w:bottom w:val="single" w:color="auto" w:sz="4" w:space="0"/>
              <w:right w:val="single" w:color="auto" w:sz="4" w:space="0"/>
            </w:tcBorders>
            <w:noWrap w:val="0"/>
            <w:vAlign w:val="center"/>
          </w:tcPr>
          <w:p w14:paraId="5CC8C568">
            <w:pPr>
              <w:pStyle w:val="390"/>
              <w:spacing w:line="500" w:lineRule="exact"/>
              <w:rPr>
                <w:rFonts w:hint="eastAsia" w:ascii="宋体" w:hAnsi="宋体"/>
                <w:b/>
                <w:bCs/>
                <w:color w:val="auto"/>
                <w:sz w:val="24"/>
                <w:highlight w:val="none"/>
              </w:rPr>
            </w:pPr>
            <w:r>
              <w:rPr>
                <w:rFonts w:hint="eastAsia" w:ascii="宋体" w:hAnsi="宋体"/>
                <w:b/>
                <w:bCs/>
                <w:color w:val="auto"/>
                <w:sz w:val="24"/>
                <w:highlight w:val="none"/>
              </w:rPr>
              <w:t>￥</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3F35C480">
            <w:pPr>
              <w:pStyle w:val="390"/>
              <w:spacing w:line="500" w:lineRule="exact"/>
              <w:rPr>
                <w:rFonts w:hint="eastAsia" w:ascii="宋体" w:hAnsi="宋体"/>
                <w:b/>
                <w:bCs/>
                <w:color w:val="auto"/>
                <w:sz w:val="24"/>
                <w:highlight w:val="none"/>
              </w:rPr>
            </w:pPr>
            <w:r>
              <w:rPr>
                <w:rFonts w:hint="eastAsia" w:ascii="宋体" w:hAnsi="宋体"/>
                <w:b/>
                <w:bCs/>
                <w:color w:val="auto"/>
                <w:sz w:val="24"/>
                <w:highlight w:val="none"/>
              </w:rPr>
              <w:t>人民币（大写）：</w:t>
            </w:r>
            <w:r>
              <w:rPr>
                <w:rFonts w:hint="eastAsia" w:ascii="宋体" w:hAnsi="宋体"/>
                <w:b/>
                <w:bCs/>
                <w:color w:val="auto"/>
                <w:sz w:val="24"/>
                <w:highlight w:val="none"/>
                <w:u w:val="single"/>
              </w:rPr>
              <w:t xml:space="preserve"> </w:t>
            </w:r>
            <w:r>
              <w:rPr>
                <w:rFonts w:ascii="宋体" w:hAnsi="宋体"/>
                <w:b/>
                <w:bCs/>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仟     </w:t>
            </w:r>
            <w:r>
              <w:rPr>
                <w:rFonts w:hint="eastAsia" w:ascii="宋体" w:hAnsi="宋体"/>
                <w:bCs/>
                <w:color w:val="auto"/>
                <w:sz w:val="24"/>
                <w:highlight w:val="none"/>
              </w:rPr>
              <w:t>佰</w:t>
            </w:r>
            <w:r>
              <w:rPr>
                <w:rFonts w:hint="eastAsia" w:ascii="宋体" w:hAnsi="宋体"/>
                <w:color w:val="auto"/>
                <w:sz w:val="24"/>
                <w:highlight w:val="none"/>
                <w:u w:val="single"/>
              </w:rPr>
              <w:t xml:space="preserve">    </w:t>
            </w:r>
            <w:r>
              <w:rPr>
                <w:rFonts w:hint="eastAsia" w:ascii="宋体" w:hAnsi="宋体"/>
                <w:bCs/>
                <w:color w:val="auto"/>
                <w:sz w:val="24"/>
                <w:highlight w:val="none"/>
              </w:rPr>
              <w:t>拾</w:t>
            </w:r>
            <w:r>
              <w:rPr>
                <w:rFonts w:hint="eastAsia" w:ascii="宋体" w:hAnsi="宋体"/>
                <w:color w:val="auto"/>
                <w:sz w:val="24"/>
                <w:highlight w:val="none"/>
                <w:u w:val="single"/>
              </w:rPr>
              <w:t xml:space="preserve">    </w:t>
            </w:r>
            <w:r>
              <w:rPr>
                <w:rFonts w:hint="eastAsia" w:ascii="宋体" w:hAnsi="宋体"/>
                <w:bCs/>
                <w:color w:val="auto"/>
                <w:sz w:val="24"/>
                <w:highlight w:val="none"/>
              </w:rPr>
              <w:t xml:space="preserve"> 万</w:t>
            </w:r>
            <w:r>
              <w:rPr>
                <w:rFonts w:hint="eastAsia" w:ascii="宋体" w:hAnsi="宋体"/>
                <w:bCs/>
                <w:color w:val="auto"/>
                <w:sz w:val="24"/>
                <w:highlight w:val="none"/>
                <w:u w:val="single"/>
              </w:rPr>
              <w:t xml:space="preserve">    </w:t>
            </w:r>
            <w:r>
              <w:rPr>
                <w:rFonts w:hint="eastAsia" w:ascii="宋体" w:hAnsi="宋体"/>
                <w:bCs/>
                <w:color w:val="auto"/>
                <w:sz w:val="24"/>
                <w:highlight w:val="none"/>
              </w:rPr>
              <w:t>仟</w:t>
            </w:r>
            <w:r>
              <w:rPr>
                <w:rFonts w:hint="eastAsia" w:ascii="宋体" w:hAnsi="宋体"/>
                <w:color w:val="auto"/>
                <w:sz w:val="24"/>
                <w:highlight w:val="none"/>
                <w:u w:val="single"/>
              </w:rPr>
              <w:t xml:space="preserve">      </w:t>
            </w:r>
            <w:r>
              <w:rPr>
                <w:rFonts w:hint="eastAsia" w:ascii="宋体" w:hAnsi="宋体"/>
                <w:bCs/>
                <w:color w:val="auto"/>
                <w:sz w:val="24"/>
                <w:highlight w:val="none"/>
              </w:rPr>
              <w:t>佰</w:t>
            </w:r>
            <w:r>
              <w:rPr>
                <w:rFonts w:hint="eastAsia" w:ascii="宋体" w:hAnsi="宋体"/>
                <w:color w:val="auto"/>
                <w:sz w:val="24"/>
                <w:highlight w:val="none"/>
                <w:u w:val="single"/>
              </w:rPr>
              <w:t xml:space="preserve">      </w:t>
            </w:r>
            <w:r>
              <w:rPr>
                <w:rFonts w:hint="eastAsia" w:ascii="宋体" w:hAnsi="宋体"/>
                <w:bCs/>
                <w:color w:val="auto"/>
                <w:sz w:val="24"/>
                <w:highlight w:val="none"/>
              </w:rPr>
              <w:t>拾</w:t>
            </w:r>
            <w:r>
              <w:rPr>
                <w:rFonts w:hint="eastAsia" w:ascii="宋体" w:hAnsi="宋体"/>
                <w:color w:val="auto"/>
                <w:sz w:val="24"/>
                <w:highlight w:val="none"/>
                <w:u w:val="single"/>
              </w:rPr>
              <w:t xml:space="preserve">     </w:t>
            </w:r>
            <w:r>
              <w:rPr>
                <w:rFonts w:hint="eastAsia" w:ascii="宋体" w:hAnsi="宋体"/>
                <w:bCs/>
                <w:color w:val="auto"/>
                <w:sz w:val="24"/>
                <w:highlight w:val="none"/>
              </w:rPr>
              <w:t>元</w:t>
            </w:r>
            <w:r>
              <w:rPr>
                <w:rFonts w:hint="eastAsia" w:ascii="宋体" w:hAnsi="宋体"/>
                <w:color w:val="auto"/>
                <w:sz w:val="24"/>
                <w:highlight w:val="none"/>
                <w:u w:val="single"/>
              </w:rPr>
              <w:t xml:space="preserve">      </w:t>
            </w:r>
            <w:r>
              <w:rPr>
                <w:rFonts w:hint="eastAsia" w:ascii="宋体" w:hAnsi="宋体"/>
                <w:bCs/>
                <w:color w:val="auto"/>
                <w:sz w:val="24"/>
                <w:highlight w:val="none"/>
              </w:rPr>
              <w:t>角</w:t>
            </w:r>
            <w:r>
              <w:rPr>
                <w:rFonts w:hint="eastAsia" w:ascii="宋体" w:hAnsi="宋体"/>
                <w:color w:val="auto"/>
                <w:sz w:val="24"/>
                <w:highlight w:val="none"/>
                <w:u w:val="single"/>
              </w:rPr>
              <w:t xml:space="preserve">      </w:t>
            </w:r>
            <w:r>
              <w:rPr>
                <w:rFonts w:hint="eastAsia" w:ascii="宋体" w:hAnsi="宋体"/>
                <w:bCs/>
                <w:color w:val="auto"/>
                <w:sz w:val="24"/>
                <w:highlight w:val="none"/>
              </w:rPr>
              <w:t>分</w:t>
            </w:r>
          </w:p>
        </w:tc>
      </w:tr>
    </w:tbl>
    <w:p w14:paraId="720FB762">
      <w:pPr>
        <w:pStyle w:val="302"/>
        <w:rPr>
          <w:rFonts w:ascii="宋体" w:hAnsi="宋体"/>
          <w:color w:val="auto"/>
          <w:sz w:val="24"/>
          <w:highlight w:val="none"/>
        </w:rPr>
      </w:pPr>
    </w:p>
    <w:p w14:paraId="6FABA604">
      <w:pPr>
        <w:spacing w:line="0" w:lineRule="atLeast"/>
        <w:rPr>
          <w:rFonts w:ascii="宋体" w:hAnsi="宋体"/>
          <w:color w:val="auto"/>
          <w:sz w:val="24"/>
          <w:szCs w:val="24"/>
          <w:highlight w:val="none"/>
        </w:rPr>
      </w:pPr>
      <w:r>
        <w:rPr>
          <w:rFonts w:hint="eastAsia" w:ascii="宋体" w:hAnsi="宋体"/>
          <w:color w:val="auto"/>
          <w:sz w:val="24"/>
          <w:szCs w:val="24"/>
          <w:highlight w:val="none"/>
        </w:rPr>
        <w:t>备注：“投标总报价”数额应当与“开标一览表”中“投标总报价”数额一致。</w:t>
      </w:r>
    </w:p>
    <w:p w14:paraId="09FCB798">
      <w:pPr>
        <w:pStyle w:val="293"/>
        <w:jc w:val="center"/>
        <w:rPr>
          <w:rFonts w:hint="eastAsia"/>
          <w:color w:val="auto"/>
          <w:highlight w:val="none"/>
        </w:rPr>
      </w:pPr>
      <w:r>
        <w:rPr>
          <w:rFonts w:hint="eastAsia"/>
          <w:b/>
          <w:bCs/>
          <w:color w:val="auto"/>
          <w:highlight w:val="none"/>
        </w:rPr>
        <w:br w:type="page"/>
      </w:r>
    </w:p>
    <w:p w14:paraId="42645646">
      <w:pPr>
        <w:pStyle w:val="327"/>
        <w:outlineLvl w:val="1"/>
        <w:rPr>
          <w:rFonts w:hint="eastAsia"/>
          <w:b w:val="0"/>
          <w:bCs/>
          <w:color w:val="auto"/>
          <w:highlight w:val="none"/>
        </w:rPr>
      </w:pPr>
      <w:bookmarkStart w:id="167" w:name="_Toc2747"/>
      <w:bookmarkStart w:id="168" w:name="_Toc21129"/>
      <w:r>
        <w:rPr>
          <w:rFonts w:hint="eastAsia"/>
          <w:b w:val="0"/>
          <w:bCs/>
          <w:color w:val="auto"/>
          <w:highlight w:val="none"/>
        </w:rPr>
        <w:t>六、中小企业或残疾人福利性单位声明函</w:t>
      </w:r>
      <w:bookmarkEnd w:id="166"/>
      <w:bookmarkEnd w:id="167"/>
      <w:bookmarkEnd w:id="168"/>
    </w:p>
    <w:p w14:paraId="49BAC48E">
      <w:pPr>
        <w:pStyle w:val="293"/>
        <w:jc w:val="center"/>
        <w:rPr>
          <w:rFonts w:ascii="方正小标宋_GBK" w:eastAsia="方正小标宋_GBK"/>
          <w:bCs/>
          <w:color w:val="auto"/>
          <w:sz w:val="32"/>
          <w:szCs w:val="32"/>
          <w:highlight w:val="none"/>
        </w:rPr>
      </w:pPr>
    </w:p>
    <w:p w14:paraId="31C794AC">
      <w:pPr>
        <w:pStyle w:val="293"/>
        <w:jc w:val="center"/>
        <w:rPr>
          <w:rFonts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中小微企业声明函</w:t>
      </w:r>
    </w:p>
    <w:p w14:paraId="0B7FFD1E">
      <w:pPr>
        <w:pStyle w:val="293"/>
        <w:jc w:val="center"/>
        <w:rPr>
          <w:rFonts w:hint="eastAsia"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（货物类项目）</w:t>
      </w:r>
    </w:p>
    <w:p w14:paraId="62BEF7C0">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本公司（联合体）郑重声明，根据《政府采购促进中小企业发展管理办法》(财库〔2020〕46号)的规定，本公司（联合体）参加</w:t>
      </w:r>
      <w:r>
        <w:rPr>
          <w:rFonts w:hint="eastAsia" w:ascii="Times New Roman" w:hAnsi="Times New Roman"/>
          <w:color w:val="auto"/>
          <w:sz w:val="24"/>
          <w:szCs w:val="24"/>
          <w:highlight w:val="none"/>
          <w:u w:val="single"/>
        </w:rPr>
        <w:t xml:space="preserve"> 单位名称  </w:t>
      </w:r>
      <w:r>
        <w:rPr>
          <w:rFonts w:hint="eastAsia" w:ascii="Times New Roman" w:hAnsi="Times New Roman"/>
          <w:color w:val="auto"/>
          <w:sz w:val="24"/>
          <w:szCs w:val="24"/>
          <w:highlight w:val="none"/>
        </w:rPr>
        <w:t>的</w:t>
      </w:r>
      <w:r>
        <w:rPr>
          <w:rFonts w:hint="eastAsia" w:ascii="Times New Roman" w:hAnsi="Times New Roman"/>
          <w:color w:val="auto"/>
          <w:sz w:val="24"/>
          <w:szCs w:val="24"/>
          <w:highlight w:val="none"/>
          <w:u w:val="single"/>
        </w:rPr>
        <w:t xml:space="preserve">（项目名称） </w:t>
      </w:r>
      <w:r>
        <w:rPr>
          <w:rFonts w:hint="eastAsia" w:ascii="Times New Roman" w:hAnsi="Times New Roman"/>
          <w:color w:val="auto"/>
          <w:sz w:val="24"/>
          <w:szCs w:val="24"/>
          <w:highlight w:val="none"/>
        </w:rPr>
        <w:t>采购活动，提供的货物全部由符合政策要求的中小微企业制造。相关企业（含联合体中的中小微企业、签订采购包意向协议的中小微企业）的具体情况如下：</w:t>
      </w:r>
    </w:p>
    <w:p w14:paraId="334A76FB">
      <w:pPr>
        <w:spacing w:line="480" w:lineRule="exact"/>
        <w:ind w:firstLine="480" w:firstLineChars="200"/>
        <w:rPr>
          <w:rFonts w:hint="eastAsia" w:ascii="Times New Roman" w:hAnsi="Times New Roman"/>
          <w:i/>
          <w:color w:val="auto"/>
          <w:sz w:val="24"/>
          <w:szCs w:val="24"/>
          <w:highlight w:val="none"/>
          <w:u w:val="single"/>
        </w:rPr>
      </w:pP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u w:val="single"/>
        </w:rPr>
        <w:t>（标的名称）</w:t>
      </w:r>
      <w:r>
        <w:rPr>
          <w:rFonts w:hint="eastAsia" w:ascii="Times New Roman" w:hAnsi="Times New Roman"/>
          <w:i/>
          <w:color w:val="auto"/>
          <w:sz w:val="24"/>
          <w:szCs w:val="24"/>
          <w:highlight w:val="none"/>
        </w:rPr>
        <w:t>，</w:t>
      </w:r>
      <w:r>
        <w:rPr>
          <w:rFonts w:hint="eastAsia" w:ascii="Times New Roman" w:hAnsi="Times New Roman"/>
          <w:color w:val="auto"/>
          <w:sz w:val="24"/>
          <w:szCs w:val="24"/>
          <w:highlight w:val="none"/>
        </w:rPr>
        <w:t>属于</w:t>
      </w:r>
      <w:r>
        <w:rPr>
          <w:rFonts w:hint="eastAsia" w:ascii="Times New Roman" w:hAnsi="Times New Roman"/>
          <w:color w:val="auto"/>
          <w:sz w:val="24"/>
          <w:szCs w:val="24"/>
          <w:highlight w:val="none"/>
          <w:u w:val="single"/>
        </w:rPr>
        <w:t>（投标人填写招标文件中明确的所属行业）</w:t>
      </w:r>
      <w:r>
        <w:rPr>
          <w:rFonts w:hint="eastAsia" w:ascii="Times New Roman" w:hAnsi="Times New Roman"/>
          <w:color w:val="auto"/>
          <w:sz w:val="24"/>
          <w:szCs w:val="24"/>
          <w:highlight w:val="none"/>
        </w:rPr>
        <w:t>行业；投标产品制造商为</w:t>
      </w:r>
      <w:r>
        <w:rPr>
          <w:rFonts w:hint="eastAsia" w:ascii="Times New Roman" w:hAnsi="Times New Roman"/>
          <w:color w:val="auto"/>
          <w:sz w:val="24"/>
          <w:szCs w:val="24"/>
          <w:highlight w:val="none"/>
          <w:u w:val="single"/>
        </w:rPr>
        <w:t>（企业名称）</w:t>
      </w:r>
      <w:r>
        <w:rPr>
          <w:rFonts w:hint="eastAsia" w:ascii="Times New Roman" w:hAnsi="Times New Roman"/>
          <w:color w:val="auto"/>
          <w:sz w:val="24"/>
          <w:szCs w:val="24"/>
          <w:highlight w:val="none"/>
        </w:rPr>
        <w:t>，从业人员</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人，营业收入为</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万元，资产总额为</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万元，属于</w:t>
      </w:r>
      <w:r>
        <w:rPr>
          <w:rFonts w:hint="eastAsia" w:ascii="Times New Roman" w:hAnsi="Times New Roman"/>
          <w:color w:val="auto"/>
          <w:sz w:val="24"/>
          <w:szCs w:val="24"/>
          <w:highlight w:val="none"/>
          <w:u w:val="single"/>
        </w:rPr>
        <w:t>（□中型企业 □小型企业 □微型企业）；</w:t>
      </w:r>
    </w:p>
    <w:p w14:paraId="29EF2850">
      <w:pPr>
        <w:spacing w:line="480" w:lineRule="exact"/>
        <w:ind w:firstLine="480" w:firstLineChars="200"/>
        <w:rPr>
          <w:rFonts w:hint="eastAsia" w:ascii="Times New Roman" w:hAnsi="Times New Roman"/>
          <w:i/>
          <w:color w:val="auto"/>
          <w:sz w:val="24"/>
          <w:szCs w:val="24"/>
          <w:highlight w:val="none"/>
          <w:u w:val="single"/>
        </w:rPr>
      </w:pP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u w:val="single"/>
        </w:rPr>
        <w:t>（标的名称）</w:t>
      </w:r>
      <w:r>
        <w:rPr>
          <w:rFonts w:hint="eastAsia" w:ascii="Times New Roman" w:hAnsi="Times New Roman"/>
          <w:i/>
          <w:color w:val="auto"/>
          <w:sz w:val="24"/>
          <w:szCs w:val="24"/>
          <w:highlight w:val="none"/>
        </w:rPr>
        <w:t>，</w:t>
      </w:r>
      <w:r>
        <w:rPr>
          <w:rFonts w:hint="eastAsia" w:ascii="Times New Roman" w:hAnsi="Times New Roman"/>
          <w:color w:val="auto"/>
          <w:sz w:val="24"/>
          <w:szCs w:val="24"/>
          <w:highlight w:val="none"/>
        </w:rPr>
        <w:t>属于</w:t>
      </w:r>
      <w:r>
        <w:rPr>
          <w:rFonts w:hint="eastAsia" w:ascii="Times New Roman" w:hAnsi="Times New Roman"/>
          <w:color w:val="auto"/>
          <w:sz w:val="24"/>
          <w:szCs w:val="24"/>
          <w:highlight w:val="none"/>
          <w:u w:val="single"/>
        </w:rPr>
        <w:t>（投标人填写招标文件中明确的所属行业）</w:t>
      </w:r>
      <w:r>
        <w:rPr>
          <w:rFonts w:hint="eastAsia" w:ascii="Times New Roman" w:hAnsi="Times New Roman"/>
          <w:color w:val="auto"/>
          <w:sz w:val="24"/>
          <w:szCs w:val="24"/>
          <w:highlight w:val="none"/>
        </w:rPr>
        <w:t>行业；投标产品制造商为</w:t>
      </w:r>
      <w:r>
        <w:rPr>
          <w:rFonts w:hint="eastAsia" w:ascii="Times New Roman" w:hAnsi="Times New Roman"/>
          <w:color w:val="auto"/>
          <w:sz w:val="24"/>
          <w:szCs w:val="24"/>
          <w:highlight w:val="none"/>
          <w:u w:val="single"/>
        </w:rPr>
        <w:t>（企业名称）</w:t>
      </w:r>
      <w:r>
        <w:rPr>
          <w:rFonts w:hint="eastAsia" w:ascii="Times New Roman" w:hAnsi="Times New Roman"/>
          <w:color w:val="auto"/>
          <w:sz w:val="24"/>
          <w:szCs w:val="24"/>
          <w:highlight w:val="none"/>
        </w:rPr>
        <w:t>，从业人员</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人，营业收入为</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万元，资产总额为</w:t>
      </w:r>
      <w:r>
        <w:rPr>
          <w:rFonts w:hint="eastAsia" w:ascii="Times New Roman" w:hAnsi="Times New Roman"/>
          <w:color w:val="auto"/>
          <w:sz w:val="24"/>
          <w:szCs w:val="24"/>
          <w:highlight w:val="none"/>
          <w:u w:val="single"/>
        </w:rPr>
        <w:t xml:space="preserve">      </w:t>
      </w:r>
      <w:r>
        <w:rPr>
          <w:rFonts w:hint="eastAsia" w:ascii="Times New Roman" w:hAnsi="Times New Roman"/>
          <w:color w:val="auto"/>
          <w:sz w:val="24"/>
          <w:szCs w:val="24"/>
          <w:highlight w:val="none"/>
        </w:rPr>
        <w:t>万元，属于</w:t>
      </w:r>
      <w:r>
        <w:rPr>
          <w:rFonts w:hint="eastAsia" w:ascii="Times New Roman" w:hAnsi="Times New Roman"/>
          <w:color w:val="auto"/>
          <w:sz w:val="24"/>
          <w:szCs w:val="24"/>
          <w:highlight w:val="none"/>
          <w:u w:val="single"/>
        </w:rPr>
        <w:t>（□中型企业 □小型企业 □微型企业）；</w:t>
      </w:r>
    </w:p>
    <w:p w14:paraId="66F36B4A">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w:t>
      </w:r>
    </w:p>
    <w:p w14:paraId="09C86E58">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以上企业，不属于大企业的分支机构，不存在控股股东为大企业的情形，也不存在与大企业的负责人为同一人的情形。</w:t>
      </w:r>
    </w:p>
    <w:p w14:paraId="7592BD86">
      <w:pPr>
        <w:spacing w:line="48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本企业对上述声明内容的真实性负责。如有虚假，将依法承担相应责任</w:t>
      </w:r>
    </w:p>
    <w:p w14:paraId="7991850B">
      <w:pPr>
        <w:spacing w:line="480" w:lineRule="exact"/>
        <w:ind w:right="720"/>
        <w:rPr>
          <w:rFonts w:hint="eastAsia" w:ascii="宋体" w:hAnsi="宋体"/>
          <w:color w:val="auto"/>
          <w:sz w:val="24"/>
          <w:szCs w:val="24"/>
          <w:highlight w:val="none"/>
        </w:rPr>
      </w:pPr>
    </w:p>
    <w:p w14:paraId="6E712B82">
      <w:pPr>
        <w:spacing w:line="400" w:lineRule="exact"/>
        <w:ind w:right="180" w:firstLine="360" w:firstLineChars="150"/>
        <w:jc w:val="right"/>
        <w:rPr>
          <w:rFonts w:ascii="宋体" w:hAnsi="宋体"/>
          <w:color w:val="auto"/>
          <w:sz w:val="24"/>
          <w:szCs w:val="24"/>
          <w:highlight w:val="none"/>
        </w:rPr>
      </w:pPr>
      <w:r>
        <w:rPr>
          <w:rFonts w:hint="eastAsia" w:ascii="宋体" w:hAnsi="宋体"/>
          <w:color w:val="auto"/>
          <w:sz w:val="24"/>
          <w:szCs w:val="24"/>
          <w:highlight w:val="none"/>
        </w:rPr>
        <w:t>企业名称（加盖CA电子公章）：</w:t>
      </w:r>
    </w:p>
    <w:p w14:paraId="0BA3B2D4">
      <w:pPr>
        <w:spacing w:line="400" w:lineRule="exact"/>
        <w:ind w:right="180" w:firstLine="360" w:firstLineChars="150"/>
        <w:jc w:val="center"/>
        <w:rPr>
          <w:rFonts w:hint="eastAsia" w:ascii="宋体" w:hAnsi="宋体"/>
          <w:color w:val="auto"/>
          <w:sz w:val="24"/>
          <w:szCs w:val="24"/>
          <w:highlight w:val="none"/>
        </w:rPr>
      </w:pPr>
      <w:r>
        <w:rPr>
          <w:rFonts w:hint="eastAsia" w:ascii="宋体" w:hAnsi="宋体"/>
          <w:color w:val="auto"/>
          <w:sz w:val="24"/>
          <w:szCs w:val="24"/>
          <w:highlight w:val="none"/>
        </w:rPr>
        <w:t xml:space="preserve">                       日  期：</w:t>
      </w:r>
    </w:p>
    <w:p w14:paraId="09815211">
      <w:pPr>
        <w:spacing w:line="400" w:lineRule="exact"/>
        <w:ind w:firstLine="480" w:firstLineChars="200"/>
        <w:rPr>
          <w:rFonts w:ascii="宋体" w:hAnsi="宋体"/>
          <w:color w:val="auto"/>
          <w:sz w:val="24"/>
          <w:szCs w:val="24"/>
          <w:highlight w:val="none"/>
        </w:rPr>
      </w:pPr>
    </w:p>
    <w:p w14:paraId="1CF4BC1B">
      <w:pPr>
        <w:spacing w:line="4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备注：1.从业人员、营业收入、资产总额填报上一年度数据，无上一年度数据的新成立企业可不填报。</w:t>
      </w:r>
    </w:p>
    <w:p w14:paraId="70413167">
      <w:pPr>
        <w:spacing w:line="400" w:lineRule="exact"/>
        <w:ind w:firstLine="480" w:firstLineChars="200"/>
        <w:jc w:val="left"/>
        <w:rPr>
          <w:rFonts w:hint="eastAsia" w:ascii="Times New Roman" w:hAnsi="Times New Roman"/>
          <w:color w:val="auto"/>
          <w:sz w:val="24"/>
          <w:szCs w:val="24"/>
          <w:highlight w:val="yellow"/>
          <w:lang w:eastAsia="zh-CN"/>
        </w:rPr>
      </w:pPr>
      <w:r>
        <w:rPr>
          <w:rFonts w:ascii="Times New Roman" w:hAnsi="Times New Roman"/>
          <w:color w:val="auto"/>
          <w:sz w:val="24"/>
          <w:szCs w:val="24"/>
          <w:highlight w:val="yellow"/>
        </w:rPr>
        <w:t>2.符合报价折扣情形的请将此函填报上传至“企业报价折扣证明”一栏中</w:t>
      </w:r>
      <w:r>
        <w:rPr>
          <w:rFonts w:hint="eastAsia" w:ascii="Times New Roman" w:hAnsi="Times New Roman"/>
          <w:color w:val="auto"/>
          <w:sz w:val="24"/>
          <w:szCs w:val="24"/>
          <w:highlight w:val="yellow"/>
          <w:lang w:eastAsia="zh-CN"/>
        </w:rPr>
        <w:t>。</w:t>
      </w:r>
    </w:p>
    <w:p w14:paraId="72E7B47D">
      <w:pPr>
        <w:spacing w:line="400" w:lineRule="exact"/>
        <w:ind w:firstLine="480" w:firstLineChars="200"/>
        <w:jc w:val="left"/>
        <w:rPr>
          <w:rFonts w:hint="default" w:ascii="Times New Roman" w:hAnsi="Times New Roman" w:eastAsia="宋体"/>
          <w:color w:val="FF0000"/>
          <w:sz w:val="24"/>
          <w:szCs w:val="24"/>
          <w:highlight w:val="yellow"/>
          <w:lang w:val="en-US" w:eastAsia="zh-CN"/>
        </w:rPr>
      </w:pPr>
      <w:r>
        <w:rPr>
          <w:rFonts w:hint="eastAsia" w:ascii="Times New Roman" w:hAnsi="Times New Roman"/>
          <w:color w:val="FF0000"/>
          <w:sz w:val="24"/>
          <w:szCs w:val="24"/>
          <w:highlight w:val="yellow"/>
          <w:lang w:val="en-US" w:eastAsia="zh-CN"/>
        </w:rPr>
        <w:t>注：专门面向中小企业的项目，如资格审查设置上传端口，请将此要求删</w:t>
      </w:r>
      <w:r>
        <w:rPr>
          <w:rFonts w:hint="eastAsia" w:ascii="Times New Roman" w:hAnsi="Times New Roman"/>
          <w:color w:val="FF0000"/>
          <w:sz w:val="24"/>
          <w:szCs w:val="24"/>
          <w:highlight w:val="yellow"/>
          <w:u w:val="single"/>
          <w:lang w:val="en-US" w:eastAsia="zh-CN"/>
        </w:rPr>
        <w:t>除</w:t>
      </w:r>
      <w:r>
        <w:rPr>
          <w:rFonts w:hint="eastAsia" w:ascii="Times New Roman" w:hAnsi="Times New Roman"/>
          <w:color w:val="FF0000"/>
          <w:sz w:val="24"/>
          <w:szCs w:val="24"/>
          <w:highlight w:val="yellow"/>
          <w:lang w:val="en-US" w:eastAsia="zh-CN"/>
        </w:rPr>
        <w:t>。</w:t>
      </w:r>
    </w:p>
    <w:p w14:paraId="0B86882A">
      <w:pPr>
        <w:spacing w:line="400" w:lineRule="exact"/>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3.对照《工业和信息化部、国家统计局、国家发展和改革委员会、财政部关于印发中小企业划型标准规定的通知》(工信部联企业</w:t>
      </w:r>
      <w:r>
        <w:rPr>
          <w:rFonts w:hint="eastAsia" w:ascii="Times New Roman" w:hAnsi="Times New Roman"/>
          <w:color w:val="auto"/>
          <w:sz w:val="24"/>
          <w:szCs w:val="24"/>
          <w:highlight w:val="none"/>
          <w:lang w:eastAsia="zh-CN"/>
        </w:rPr>
        <w:t>〔2011〕300号</w:t>
      </w:r>
      <w:r>
        <w:rPr>
          <w:rFonts w:ascii="Times New Roman" w:hAnsi="Times New Roman"/>
          <w:color w:val="auto"/>
          <w:sz w:val="24"/>
          <w:szCs w:val="24"/>
          <w:highlight w:val="none"/>
        </w:rPr>
        <w:t>)的规定，</w:t>
      </w:r>
      <w:r>
        <w:rPr>
          <w:rFonts w:hint="eastAsia" w:ascii="Times New Roman" w:hAnsi="Times New Roman"/>
          <w:color w:val="auto"/>
          <w:sz w:val="24"/>
          <w:szCs w:val="24"/>
          <w:highlight w:val="none"/>
        </w:rPr>
        <w:t>投标人</w:t>
      </w:r>
      <w:r>
        <w:rPr>
          <w:rFonts w:ascii="Times New Roman" w:hAnsi="Times New Roman"/>
          <w:color w:val="auto"/>
          <w:sz w:val="24"/>
          <w:szCs w:val="24"/>
          <w:highlight w:val="none"/>
        </w:rPr>
        <w:t>自行勾选制造商的企业规模类型。</w:t>
      </w:r>
    </w:p>
    <w:p w14:paraId="432C2F43">
      <w:pPr>
        <w:spacing w:line="400" w:lineRule="exact"/>
        <w:ind w:firstLine="480" w:firstLineChars="200"/>
        <w:jc w:val="left"/>
        <w:rPr>
          <w:rFonts w:hint="eastAsia" w:ascii="宋体" w:hAnsi="宋体"/>
          <w:color w:val="auto"/>
          <w:sz w:val="24"/>
          <w:szCs w:val="24"/>
          <w:highlight w:val="none"/>
        </w:rPr>
      </w:pPr>
    </w:p>
    <w:p w14:paraId="51472946">
      <w:pPr>
        <w:pStyle w:val="293"/>
        <w:jc w:val="center"/>
        <w:rPr>
          <w:rFonts w:ascii="方正小标宋_GBK" w:eastAsia="方正小标宋_GBK"/>
          <w:bCs/>
          <w:color w:val="auto"/>
          <w:sz w:val="32"/>
          <w:szCs w:val="32"/>
          <w:highlight w:val="none"/>
        </w:rPr>
      </w:pPr>
      <w:r>
        <w:rPr>
          <w:rFonts w:ascii="宋体" w:hAnsi="宋体"/>
          <w:color w:val="auto"/>
          <w:sz w:val="24"/>
          <w:szCs w:val="24"/>
          <w:highlight w:val="none"/>
        </w:rPr>
        <w:br w:type="page"/>
      </w:r>
      <w:r>
        <w:rPr>
          <w:rFonts w:hint="eastAsia" w:ascii="方正小标宋_GBK" w:eastAsia="方正小标宋_GBK"/>
          <w:bCs/>
          <w:color w:val="auto"/>
          <w:sz w:val="32"/>
          <w:szCs w:val="32"/>
          <w:highlight w:val="none"/>
        </w:rPr>
        <w:t>中小微企业声明函</w:t>
      </w:r>
    </w:p>
    <w:p w14:paraId="1824C813">
      <w:pPr>
        <w:pStyle w:val="293"/>
        <w:jc w:val="center"/>
        <w:rPr>
          <w:rFonts w:hint="eastAsia"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（服务类项目）</w:t>
      </w:r>
    </w:p>
    <w:p w14:paraId="1F70A70F">
      <w:pPr>
        <w:spacing w:line="500" w:lineRule="exact"/>
        <w:ind w:firstLine="480" w:firstLineChars="200"/>
        <w:rPr>
          <w:rFonts w:ascii="宋体" w:hAnsi="宋体"/>
          <w:color w:val="auto"/>
          <w:sz w:val="24"/>
          <w:szCs w:val="24"/>
          <w:highlight w:val="none"/>
        </w:rPr>
      </w:pPr>
    </w:p>
    <w:p w14:paraId="5D01E3F8">
      <w:pPr>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本公司（联合体）郑重声明，根据《政府采购促进中小企业发展管理办法》(财库</w:t>
      </w:r>
      <w:r>
        <w:rPr>
          <w:rFonts w:hint="eastAsia" w:ascii="Times New Roman" w:hAnsi="Times New Roman"/>
          <w:color w:val="auto"/>
          <w:sz w:val="24"/>
          <w:szCs w:val="24"/>
          <w:highlight w:val="none"/>
        </w:rPr>
        <w:t>〔2020〕</w:t>
      </w:r>
      <w:r>
        <w:rPr>
          <w:rFonts w:hint="eastAsia" w:ascii="宋体" w:hAnsi="宋体"/>
          <w:color w:val="auto"/>
          <w:sz w:val="24"/>
          <w:szCs w:val="24"/>
          <w:highlight w:val="none"/>
        </w:rPr>
        <w:t>46号)的规定，本公司（联合体）参加</w:t>
      </w:r>
      <w:r>
        <w:rPr>
          <w:rFonts w:hint="eastAsia" w:ascii="宋体" w:hAnsi="宋体"/>
          <w:color w:val="auto"/>
          <w:sz w:val="24"/>
          <w:szCs w:val="24"/>
          <w:highlight w:val="none"/>
          <w:u w:val="single"/>
        </w:rPr>
        <w:t xml:space="preserve"> 单位名称 </w:t>
      </w:r>
      <w:r>
        <w:rPr>
          <w:rFonts w:hint="eastAsia" w:ascii="宋体" w:hAnsi="宋体"/>
          <w:color w:val="auto"/>
          <w:sz w:val="24"/>
          <w:szCs w:val="24"/>
          <w:highlight w:val="none"/>
        </w:rPr>
        <w:t xml:space="preserve"> 的</w:t>
      </w:r>
      <w:r>
        <w:rPr>
          <w:rFonts w:hint="eastAsia" w:ascii="宋体" w:hAnsi="宋体"/>
          <w:color w:val="auto"/>
          <w:sz w:val="24"/>
          <w:szCs w:val="24"/>
          <w:highlight w:val="none"/>
          <w:u w:val="single"/>
        </w:rPr>
        <w:t>（项目名称）</w:t>
      </w:r>
      <w:r>
        <w:rPr>
          <w:rFonts w:hint="eastAsia" w:ascii="宋体" w:hAnsi="宋体"/>
          <w:color w:val="auto"/>
          <w:sz w:val="24"/>
          <w:szCs w:val="24"/>
          <w:highlight w:val="none"/>
        </w:rPr>
        <w:t xml:space="preserve"> 采购活动，服务全部由符合政策的中小微企业承接。相关企业（含联合体中的中小微企业、签订采购包意向协议的中小微企业）的具体情况如下：</w:t>
      </w:r>
    </w:p>
    <w:p w14:paraId="2179B5E2">
      <w:pPr>
        <w:spacing w:line="500" w:lineRule="exact"/>
        <w:ind w:firstLine="480" w:firstLineChars="200"/>
        <w:rPr>
          <w:rFonts w:hint="eastAsia" w:ascii="宋体" w:hAnsi="宋体"/>
          <w:i/>
          <w:color w:val="auto"/>
          <w:sz w:val="24"/>
          <w:szCs w:val="24"/>
          <w:highlight w:val="none"/>
          <w:u w:val="single"/>
        </w:rPr>
      </w:pPr>
      <w:r>
        <w:rPr>
          <w:rFonts w:hint="eastAsia" w:ascii="宋体" w:hAnsi="宋体"/>
          <w:color w:val="auto"/>
          <w:sz w:val="24"/>
          <w:szCs w:val="24"/>
          <w:highlight w:val="none"/>
        </w:rPr>
        <w:t>1.</w:t>
      </w:r>
      <w:r>
        <w:rPr>
          <w:rFonts w:hint="eastAsia" w:ascii="宋体" w:hAnsi="宋体"/>
          <w:color w:val="auto"/>
          <w:sz w:val="24"/>
          <w:szCs w:val="24"/>
          <w:highlight w:val="none"/>
          <w:u w:val="single"/>
        </w:rPr>
        <w:t>（标的名称）</w:t>
      </w:r>
      <w:r>
        <w:rPr>
          <w:rFonts w:hint="eastAsia" w:ascii="宋体" w:hAnsi="宋体"/>
          <w:i/>
          <w:color w:val="auto"/>
          <w:sz w:val="24"/>
          <w:szCs w:val="24"/>
          <w:highlight w:val="none"/>
        </w:rPr>
        <w:t>，</w:t>
      </w:r>
      <w:r>
        <w:rPr>
          <w:rFonts w:hint="eastAsia" w:ascii="宋体" w:hAnsi="宋体"/>
          <w:color w:val="auto"/>
          <w:sz w:val="24"/>
          <w:szCs w:val="24"/>
          <w:highlight w:val="none"/>
        </w:rPr>
        <w:t>属于</w:t>
      </w:r>
      <w:r>
        <w:rPr>
          <w:rFonts w:hint="eastAsia" w:ascii="宋体" w:hAnsi="宋体"/>
          <w:color w:val="auto"/>
          <w:sz w:val="24"/>
          <w:szCs w:val="24"/>
          <w:highlight w:val="none"/>
          <w:u w:val="single"/>
        </w:rPr>
        <w:t>（投标人填写招标文件中明确的所属行业）</w:t>
      </w:r>
      <w:r>
        <w:rPr>
          <w:rFonts w:hint="eastAsia" w:ascii="宋体" w:hAnsi="宋体"/>
          <w:color w:val="auto"/>
          <w:sz w:val="24"/>
          <w:szCs w:val="24"/>
          <w:highlight w:val="none"/>
        </w:rPr>
        <w:t>行业；承接企业为</w:t>
      </w:r>
      <w:r>
        <w:rPr>
          <w:rFonts w:hint="eastAsia" w:ascii="宋体" w:hAnsi="宋体"/>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color w:val="auto"/>
          <w:sz w:val="24"/>
          <w:szCs w:val="24"/>
          <w:highlight w:val="none"/>
          <w:u w:val="single"/>
        </w:rPr>
        <w:t>（□中型企业 □小型企业 □微型企业）；</w:t>
      </w:r>
    </w:p>
    <w:p w14:paraId="330DF0C4">
      <w:pPr>
        <w:spacing w:line="500" w:lineRule="exact"/>
        <w:ind w:firstLine="480" w:firstLineChars="200"/>
        <w:rPr>
          <w:rFonts w:hint="eastAsia" w:ascii="宋体" w:hAnsi="宋体"/>
          <w:i/>
          <w:color w:val="auto"/>
          <w:sz w:val="24"/>
          <w:szCs w:val="24"/>
          <w:highlight w:val="none"/>
          <w:u w:val="single"/>
        </w:rPr>
      </w:pPr>
      <w:r>
        <w:rPr>
          <w:rFonts w:hint="eastAsia" w:ascii="宋体" w:hAnsi="宋体"/>
          <w:color w:val="auto"/>
          <w:sz w:val="24"/>
          <w:szCs w:val="24"/>
          <w:highlight w:val="none"/>
        </w:rPr>
        <w:t>2.</w:t>
      </w:r>
      <w:r>
        <w:rPr>
          <w:rFonts w:hint="eastAsia" w:ascii="宋体" w:hAnsi="宋体"/>
          <w:color w:val="auto"/>
          <w:sz w:val="24"/>
          <w:szCs w:val="24"/>
          <w:highlight w:val="none"/>
          <w:u w:val="single"/>
        </w:rPr>
        <w:t>（标的名称）</w:t>
      </w:r>
      <w:r>
        <w:rPr>
          <w:rFonts w:hint="eastAsia" w:ascii="宋体" w:hAnsi="宋体"/>
          <w:i/>
          <w:color w:val="auto"/>
          <w:sz w:val="24"/>
          <w:szCs w:val="24"/>
          <w:highlight w:val="none"/>
        </w:rPr>
        <w:t>，</w:t>
      </w:r>
      <w:r>
        <w:rPr>
          <w:rFonts w:hint="eastAsia" w:ascii="宋体" w:hAnsi="宋体"/>
          <w:color w:val="auto"/>
          <w:sz w:val="24"/>
          <w:szCs w:val="24"/>
          <w:highlight w:val="none"/>
        </w:rPr>
        <w:t>属于</w:t>
      </w:r>
      <w:r>
        <w:rPr>
          <w:rFonts w:hint="eastAsia" w:ascii="宋体" w:hAnsi="宋体"/>
          <w:color w:val="auto"/>
          <w:sz w:val="24"/>
          <w:szCs w:val="24"/>
          <w:highlight w:val="none"/>
          <w:u w:val="single"/>
        </w:rPr>
        <w:t>（投标人填写招标文件中明确的所属行业）</w:t>
      </w:r>
      <w:r>
        <w:rPr>
          <w:rFonts w:hint="eastAsia" w:ascii="宋体" w:hAnsi="宋体"/>
          <w:color w:val="auto"/>
          <w:sz w:val="24"/>
          <w:szCs w:val="24"/>
          <w:highlight w:val="none"/>
        </w:rPr>
        <w:t>行业；承接企业为</w:t>
      </w:r>
      <w:r>
        <w:rPr>
          <w:rFonts w:hint="eastAsia" w:ascii="宋体" w:hAnsi="宋体"/>
          <w:color w:val="auto"/>
          <w:sz w:val="24"/>
          <w:szCs w:val="24"/>
          <w:highlight w:val="none"/>
          <w:u w:val="single"/>
        </w:rPr>
        <w:t>（企业名称）</w:t>
      </w:r>
      <w:r>
        <w:rPr>
          <w:rFonts w:hint="eastAsia" w:ascii="宋体" w:hAnsi="宋体"/>
          <w:color w:val="auto"/>
          <w:sz w:val="24"/>
          <w:szCs w:val="24"/>
          <w:highlight w:val="none"/>
        </w:rPr>
        <w:t>，从业人员</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人，营业收入为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万元，资产总额为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万元，属于</w:t>
      </w:r>
      <w:r>
        <w:rPr>
          <w:rFonts w:hint="eastAsia" w:ascii="宋体" w:hAnsi="宋体"/>
          <w:color w:val="auto"/>
          <w:sz w:val="24"/>
          <w:szCs w:val="24"/>
          <w:highlight w:val="none"/>
          <w:u w:val="single"/>
        </w:rPr>
        <w:t>（□中型企业 □小型企业 □微型企业）；</w:t>
      </w:r>
    </w:p>
    <w:p w14:paraId="39CA4A14">
      <w:pPr>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w:t>
      </w:r>
    </w:p>
    <w:p w14:paraId="5AFFCCCA">
      <w:pPr>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以上企业，不属于大企业的分支机构，不存在控股股东为大企业的情形，也不存在与大企业的负责人为同一人的情形。</w:t>
      </w:r>
    </w:p>
    <w:p w14:paraId="5CDE4CBD">
      <w:pPr>
        <w:spacing w:line="50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本企业对上述声明内容的真实性负责。如有虚假，将依法承担相应责任</w:t>
      </w:r>
    </w:p>
    <w:p w14:paraId="1023D818">
      <w:pPr>
        <w:spacing w:line="500" w:lineRule="exact"/>
        <w:ind w:firstLine="480" w:firstLineChars="200"/>
        <w:rPr>
          <w:rFonts w:hint="eastAsia" w:ascii="宋体" w:hAnsi="宋体"/>
          <w:color w:val="auto"/>
          <w:sz w:val="24"/>
          <w:szCs w:val="24"/>
          <w:highlight w:val="none"/>
        </w:rPr>
      </w:pPr>
    </w:p>
    <w:p w14:paraId="594A37C3">
      <w:pPr>
        <w:spacing w:line="500" w:lineRule="exact"/>
        <w:ind w:firstLine="480" w:firstLineChars="200"/>
        <w:jc w:val="right"/>
        <w:rPr>
          <w:rFonts w:hint="eastAsia" w:ascii="宋体" w:hAnsi="宋体"/>
          <w:color w:val="auto"/>
          <w:sz w:val="24"/>
          <w:szCs w:val="24"/>
          <w:highlight w:val="none"/>
        </w:rPr>
      </w:pPr>
      <w:r>
        <w:rPr>
          <w:rFonts w:hint="eastAsia" w:ascii="宋体" w:hAnsi="宋体"/>
          <w:color w:val="auto"/>
          <w:sz w:val="24"/>
          <w:szCs w:val="24"/>
          <w:highlight w:val="none"/>
        </w:rPr>
        <w:t>企业名称（加盖CA电子公章）：</w:t>
      </w:r>
    </w:p>
    <w:p w14:paraId="76826564">
      <w:pPr>
        <w:spacing w:line="500" w:lineRule="exact"/>
        <w:ind w:firstLine="6960" w:firstLineChars="2900"/>
        <w:rPr>
          <w:rFonts w:hint="eastAsia" w:ascii="宋体" w:hAnsi="宋体"/>
          <w:color w:val="auto"/>
          <w:sz w:val="24"/>
          <w:szCs w:val="24"/>
          <w:highlight w:val="none"/>
        </w:rPr>
      </w:pPr>
      <w:r>
        <w:rPr>
          <w:rFonts w:hint="eastAsia" w:ascii="宋体" w:hAnsi="宋体"/>
          <w:color w:val="auto"/>
          <w:sz w:val="24"/>
          <w:szCs w:val="24"/>
          <w:highlight w:val="none"/>
        </w:rPr>
        <w:t>日  期：</w:t>
      </w:r>
    </w:p>
    <w:p w14:paraId="104706E4">
      <w:pPr>
        <w:spacing w:line="400" w:lineRule="exact"/>
        <w:ind w:firstLine="240" w:firstLineChars="100"/>
        <w:rPr>
          <w:rFonts w:hint="eastAsia" w:ascii="宋体" w:hAnsi="宋体"/>
          <w:color w:val="auto"/>
          <w:sz w:val="24"/>
          <w:szCs w:val="24"/>
          <w:highlight w:val="none"/>
        </w:rPr>
      </w:pPr>
    </w:p>
    <w:p w14:paraId="02D18067">
      <w:pPr>
        <w:spacing w:line="400" w:lineRule="exact"/>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备注：1.从业人员、营业收入、资产总额填报上一年度数据，无上一年度数据的新成立企业可不填报。</w:t>
      </w:r>
    </w:p>
    <w:p w14:paraId="305A6D5D">
      <w:pPr>
        <w:spacing w:line="400" w:lineRule="exact"/>
        <w:ind w:firstLine="480" w:firstLineChars="200"/>
        <w:rPr>
          <w:rFonts w:ascii="Times New Roman" w:hAnsi="Times New Roman"/>
          <w:color w:val="auto"/>
          <w:sz w:val="24"/>
          <w:szCs w:val="24"/>
          <w:highlight w:val="yellow"/>
        </w:rPr>
      </w:pPr>
      <w:r>
        <w:rPr>
          <w:rFonts w:ascii="Times New Roman" w:hAnsi="Times New Roman"/>
          <w:color w:val="auto"/>
          <w:sz w:val="24"/>
          <w:szCs w:val="24"/>
          <w:highlight w:val="yellow"/>
        </w:rPr>
        <w:t>2.符合报价折扣情形的请将此函填报上传至“企业报价折扣证明”一栏中。</w:t>
      </w:r>
    </w:p>
    <w:p w14:paraId="1A5B0A79">
      <w:pPr>
        <w:spacing w:line="400" w:lineRule="exact"/>
        <w:ind w:firstLine="480" w:firstLineChars="200"/>
        <w:jc w:val="left"/>
        <w:rPr>
          <w:rFonts w:hint="default" w:ascii="Times New Roman" w:hAnsi="Times New Roman" w:eastAsia="宋体"/>
          <w:color w:val="FF0000"/>
          <w:sz w:val="24"/>
          <w:szCs w:val="24"/>
          <w:highlight w:val="yellow"/>
          <w:lang w:val="en-US" w:eastAsia="zh-CN"/>
        </w:rPr>
      </w:pPr>
      <w:r>
        <w:rPr>
          <w:rFonts w:hint="eastAsia" w:ascii="Times New Roman" w:hAnsi="Times New Roman"/>
          <w:color w:val="FF0000"/>
          <w:sz w:val="24"/>
          <w:szCs w:val="24"/>
          <w:highlight w:val="yellow"/>
          <w:lang w:val="en-US" w:eastAsia="zh-CN"/>
        </w:rPr>
        <w:t>注：专门面向中小企业的项目，如资格审查设置上传端口，请将此要求删</w:t>
      </w:r>
      <w:r>
        <w:rPr>
          <w:rFonts w:hint="eastAsia" w:ascii="Times New Roman" w:hAnsi="Times New Roman"/>
          <w:color w:val="FF0000"/>
          <w:sz w:val="24"/>
          <w:szCs w:val="24"/>
          <w:highlight w:val="yellow"/>
          <w:u w:val="single"/>
          <w:lang w:val="en-US" w:eastAsia="zh-CN"/>
        </w:rPr>
        <w:t>除</w:t>
      </w:r>
      <w:r>
        <w:rPr>
          <w:rFonts w:hint="eastAsia" w:ascii="Times New Roman" w:hAnsi="Times New Roman"/>
          <w:color w:val="FF0000"/>
          <w:sz w:val="24"/>
          <w:szCs w:val="24"/>
          <w:highlight w:val="yellow"/>
          <w:lang w:val="en-US" w:eastAsia="zh-CN"/>
        </w:rPr>
        <w:t>。</w:t>
      </w:r>
    </w:p>
    <w:p w14:paraId="41E67FC7">
      <w:pPr>
        <w:spacing w:line="400" w:lineRule="exact"/>
        <w:ind w:firstLine="480" w:firstLineChars="200"/>
        <w:rPr>
          <w:rFonts w:ascii="Times New Roman" w:hAnsi="Times New Roman"/>
          <w:color w:val="auto"/>
          <w:sz w:val="22"/>
          <w:szCs w:val="21"/>
          <w:highlight w:val="none"/>
        </w:rPr>
      </w:pPr>
      <w:r>
        <w:rPr>
          <w:rFonts w:ascii="Times New Roman" w:hAnsi="Times New Roman"/>
          <w:color w:val="auto"/>
          <w:sz w:val="24"/>
          <w:szCs w:val="24"/>
          <w:highlight w:val="none"/>
        </w:rPr>
        <w:t>3.对照《工业和信息化部、国家统计局、国家发展和改革委员会、财政部关于印发中小企业划型标准规定的通知》(工信部联企业</w:t>
      </w:r>
      <w:r>
        <w:rPr>
          <w:rFonts w:hint="eastAsia" w:ascii="Times New Roman" w:hAnsi="Times New Roman"/>
          <w:color w:val="auto"/>
          <w:sz w:val="24"/>
          <w:szCs w:val="24"/>
          <w:highlight w:val="none"/>
          <w:lang w:eastAsia="zh-CN"/>
        </w:rPr>
        <w:t>〔2011〕300号</w:t>
      </w:r>
      <w:r>
        <w:rPr>
          <w:rFonts w:ascii="Times New Roman" w:hAnsi="Times New Roman"/>
          <w:color w:val="auto"/>
          <w:sz w:val="24"/>
          <w:szCs w:val="24"/>
          <w:highlight w:val="none"/>
        </w:rPr>
        <w:t>)的规定，</w:t>
      </w:r>
      <w:r>
        <w:rPr>
          <w:rFonts w:hint="eastAsia" w:ascii="Times New Roman" w:hAnsi="Times New Roman"/>
          <w:color w:val="auto"/>
          <w:sz w:val="24"/>
          <w:szCs w:val="24"/>
          <w:highlight w:val="none"/>
        </w:rPr>
        <w:t>投标人</w:t>
      </w:r>
      <w:r>
        <w:rPr>
          <w:rFonts w:ascii="Times New Roman" w:hAnsi="Times New Roman"/>
          <w:color w:val="auto"/>
          <w:sz w:val="24"/>
          <w:szCs w:val="24"/>
          <w:highlight w:val="none"/>
        </w:rPr>
        <w:t>自行勾选承接企业的企业规模类型。</w:t>
      </w:r>
    </w:p>
    <w:p w14:paraId="091E06C0">
      <w:pPr>
        <w:pStyle w:val="309"/>
        <w:spacing w:before="151" w:after="151" w:line="600" w:lineRule="exact"/>
        <w:rPr>
          <w:rFonts w:hint="eastAsia" w:ascii="宋体"/>
          <w:b/>
          <w:bCs/>
          <w:color w:val="auto"/>
          <w:sz w:val="32"/>
          <w:szCs w:val="32"/>
          <w:highlight w:val="none"/>
        </w:rPr>
      </w:pPr>
    </w:p>
    <w:p w14:paraId="23999A57">
      <w:pPr>
        <w:pStyle w:val="293"/>
        <w:jc w:val="center"/>
        <w:rPr>
          <w:rFonts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残疾人福利性单位声明函</w:t>
      </w:r>
    </w:p>
    <w:p w14:paraId="5A985488">
      <w:pPr>
        <w:pStyle w:val="311"/>
        <w:spacing w:line="588" w:lineRule="exact"/>
        <w:rPr>
          <w:rFonts w:ascii="仿宋_GB2312" w:eastAsia="仿宋_GB2312"/>
          <w:b/>
          <w:color w:val="auto"/>
          <w:spacing w:val="6"/>
          <w:sz w:val="30"/>
          <w:szCs w:val="30"/>
          <w:highlight w:val="none"/>
        </w:rPr>
      </w:pPr>
    </w:p>
    <w:p w14:paraId="6ECB8491">
      <w:pPr>
        <w:pStyle w:val="310"/>
        <w:spacing w:line="500" w:lineRule="exact"/>
        <w:ind w:firstLine="480"/>
        <w:rPr>
          <w:rFonts w:ascii="Times New Roman" w:hAnsi="Times New Roman"/>
          <w:color w:val="auto"/>
          <w:sz w:val="24"/>
          <w:highlight w:val="none"/>
        </w:rPr>
      </w:pPr>
      <w:r>
        <w:rPr>
          <w:rFonts w:hint="eastAsia" w:ascii="Times New Roman" w:hAnsi="Times New Roman"/>
          <w:color w:val="auto"/>
          <w:sz w:val="24"/>
          <w:highlight w:val="none"/>
        </w:rPr>
        <w:t>本单位郑重声明，根据《财政部 民政部 中国残疾人联合会关于促进残疾人就业政府采购政策的通知》（财库〔</w:t>
      </w:r>
      <w:r>
        <w:rPr>
          <w:rFonts w:ascii="Times New Roman" w:hAnsi="Times New Roman"/>
          <w:color w:val="auto"/>
          <w:sz w:val="24"/>
          <w:highlight w:val="none"/>
        </w:rPr>
        <w:t>2017</w:t>
      </w:r>
      <w:r>
        <w:rPr>
          <w:rFonts w:hint="eastAsia" w:ascii="Times New Roman" w:hAnsi="Times New Roman"/>
          <w:color w:val="auto"/>
          <w:sz w:val="24"/>
          <w:highlight w:val="none"/>
        </w:rPr>
        <w:t>〕</w:t>
      </w:r>
      <w:r>
        <w:rPr>
          <w:rFonts w:ascii="Times New Roman" w:hAnsi="Times New Roman"/>
          <w:color w:val="auto"/>
          <w:sz w:val="24"/>
          <w:highlight w:val="none"/>
        </w:rPr>
        <w:t>141</w:t>
      </w:r>
      <w:r>
        <w:rPr>
          <w:rFonts w:hint="eastAsia" w:ascii="Times New Roman" w:hAnsi="Times New Roman"/>
          <w:color w:val="auto"/>
          <w:sz w:val="24"/>
          <w:highlight w:val="none"/>
        </w:rPr>
        <w:t>号）的规定，本单位为符合条件的残疾人福利性单位，且本单位参加</w:t>
      </w:r>
      <w:r>
        <w:rPr>
          <w:rFonts w:hint="eastAsia" w:ascii="Times New Roman" w:hAnsi="Times New Roman"/>
          <w:color w:val="auto"/>
          <w:sz w:val="24"/>
          <w:highlight w:val="none"/>
          <w:u w:val="single"/>
        </w:rPr>
        <w:t>（</w:t>
      </w:r>
      <w:r>
        <w:rPr>
          <w:rFonts w:hint="eastAsia" w:ascii="Times New Roman" w:hAnsi="Times New Roman"/>
          <w:color w:val="auto"/>
          <w:sz w:val="24"/>
          <w:szCs w:val="24"/>
          <w:highlight w:val="none"/>
          <w:u w:val="single"/>
        </w:rPr>
        <w:t>单位名称）</w:t>
      </w:r>
      <w:r>
        <w:rPr>
          <w:rFonts w:hint="eastAsia" w:ascii="Times New Roman" w:hAnsi="Times New Roman"/>
          <w:color w:val="auto"/>
          <w:sz w:val="24"/>
          <w:highlight w:val="none"/>
        </w:rPr>
        <w:t>的</w:t>
      </w:r>
      <w:r>
        <w:rPr>
          <w:rFonts w:hint="eastAsia" w:ascii="Times New Roman" w:hAnsi="Times New Roman"/>
          <w:color w:val="auto"/>
          <w:sz w:val="24"/>
          <w:highlight w:val="none"/>
          <w:u w:val="single"/>
        </w:rPr>
        <w:t xml:space="preserve">（项目名称） </w:t>
      </w:r>
      <w:r>
        <w:rPr>
          <w:rFonts w:hint="eastAsia" w:ascii="Times New Roman" w:hAnsi="Times New Roman"/>
          <w:color w:val="auto"/>
          <w:sz w:val="24"/>
          <w:highlight w:val="none"/>
        </w:rPr>
        <w:t>采购活动提供本单位制造的货物（由本单位承担工程/提供服务），或者提供其他残疾人福利性单位制造的货物（不包括使用非残疾人福利性单位注册商标的货物）。</w:t>
      </w:r>
    </w:p>
    <w:p w14:paraId="0C2AAE8B">
      <w:pPr>
        <w:pStyle w:val="310"/>
        <w:spacing w:line="500" w:lineRule="exact"/>
        <w:ind w:firstLine="480"/>
        <w:rPr>
          <w:rFonts w:ascii="Times New Roman" w:hAnsi="Times New Roman"/>
          <w:color w:val="auto"/>
          <w:sz w:val="24"/>
          <w:highlight w:val="none"/>
        </w:rPr>
      </w:pPr>
      <w:r>
        <w:rPr>
          <w:rFonts w:hint="eastAsia" w:ascii="Times New Roman" w:hAnsi="Times New Roman"/>
          <w:color w:val="auto"/>
          <w:sz w:val="24"/>
          <w:highlight w:val="none"/>
        </w:rPr>
        <w:t>本单位对上述声明的真实性负责。如有虚假，将依法承担相应责任。</w:t>
      </w:r>
    </w:p>
    <w:p w14:paraId="4739B95E">
      <w:pPr>
        <w:pStyle w:val="312"/>
        <w:spacing w:line="500" w:lineRule="exact"/>
        <w:ind w:firstLine="3810"/>
        <w:rPr>
          <w:color w:val="auto"/>
          <w:spacing w:val="6"/>
          <w:sz w:val="24"/>
          <w:szCs w:val="24"/>
          <w:highlight w:val="none"/>
        </w:rPr>
      </w:pPr>
    </w:p>
    <w:p w14:paraId="2761C21D">
      <w:pPr>
        <w:pStyle w:val="312"/>
        <w:spacing w:line="500" w:lineRule="exact"/>
        <w:ind w:firstLine="3629"/>
        <w:jc w:val="left"/>
        <w:rPr>
          <w:color w:val="auto"/>
          <w:sz w:val="24"/>
          <w:highlight w:val="none"/>
        </w:rPr>
      </w:pPr>
    </w:p>
    <w:p w14:paraId="6B38CF02">
      <w:pPr>
        <w:pStyle w:val="312"/>
        <w:spacing w:line="500" w:lineRule="exact"/>
        <w:ind w:firstLine="480"/>
        <w:jc w:val="left"/>
        <w:rPr>
          <w:color w:val="auto"/>
          <w:sz w:val="24"/>
          <w:highlight w:val="none"/>
        </w:rPr>
      </w:pPr>
      <w:r>
        <w:rPr>
          <w:rFonts w:hint="eastAsia"/>
          <w:color w:val="auto"/>
          <w:sz w:val="24"/>
          <w:highlight w:val="none"/>
        </w:rPr>
        <w:t>单位名称：</w:t>
      </w:r>
      <w:r>
        <w:rPr>
          <w:rFonts w:hint="eastAsia"/>
          <w:color w:val="auto"/>
          <w:sz w:val="24"/>
          <w:highlight w:val="none"/>
          <w:u w:val="single"/>
        </w:rPr>
        <w:t xml:space="preserve">              </w:t>
      </w:r>
      <w:r>
        <w:rPr>
          <w:rFonts w:hint="eastAsia"/>
          <w:color w:val="auto"/>
          <w:sz w:val="24"/>
          <w:highlight w:val="none"/>
        </w:rPr>
        <w:t>（</w:t>
      </w:r>
      <w:r>
        <w:rPr>
          <w:rFonts w:hint="eastAsia"/>
          <w:color w:val="auto"/>
          <w:sz w:val="24"/>
          <w:szCs w:val="24"/>
          <w:highlight w:val="none"/>
        </w:rPr>
        <w:t>盖CA电子公章</w:t>
      </w:r>
      <w:r>
        <w:rPr>
          <w:rFonts w:hint="eastAsia"/>
          <w:color w:val="auto"/>
          <w:sz w:val="24"/>
          <w:highlight w:val="none"/>
        </w:rPr>
        <w:t>）</w:t>
      </w:r>
    </w:p>
    <w:p w14:paraId="1A5E58AD">
      <w:pPr>
        <w:pStyle w:val="309"/>
        <w:spacing w:line="500" w:lineRule="exact"/>
        <w:ind w:firstLine="480"/>
        <w:jc w:val="left"/>
        <w:rPr>
          <w:rFonts w:ascii="Times New Roman" w:hAnsi="Times New Roman"/>
          <w:color w:val="auto"/>
          <w:sz w:val="24"/>
          <w:szCs w:val="20"/>
          <w:highlight w:val="none"/>
        </w:rPr>
      </w:pPr>
      <w:r>
        <w:rPr>
          <w:rFonts w:hint="eastAsia" w:ascii="Times New Roman" w:hAnsi="Times New Roman"/>
          <w:color w:val="auto"/>
          <w:sz w:val="24"/>
          <w:szCs w:val="20"/>
          <w:highlight w:val="none"/>
        </w:rPr>
        <w:t>日期：  年  月  日</w:t>
      </w:r>
    </w:p>
    <w:p w14:paraId="5E1C9401">
      <w:pPr>
        <w:pStyle w:val="311"/>
        <w:tabs>
          <w:tab w:val="left" w:pos="4860"/>
        </w:tabs>
        <w:spacing w:line="588" w:lineRule="exact"/>
        <w:ind w:right="1560" w:firstLine="480"/>
        <w:jc w:val="center"/>
        <w:rPr>
          <w:rFonts w:ascii="Times New Roman" w:hAnsi="Times New Roman" w:cs="Arial"/>
          <w:color w:val="auto"/>
          <w:sz w:val="24"/>
          <w:szCs w:val="24"/>
          <w:highlight w:val="none"/>
        </w:rPr>
      </w:pPr>
    </w:p>
    <w:p w14:paraId="22148F3B">
      <w:pPr>
        <w:pStyle w:val="313"/>
        <w:spacing w:line="500" w:lineRule="exact"/>
        <w:ind w:left="357" w:firstLine="0"/>
        <w:rPr>
          <w:rFonts w:ascii="Times New Roman" w:hAnsi="Times New Roman" w:cs="Arial"/>
          <w:color w:val="auto"/>
          <w:sz w:val="24"/>
          <w:szCs w:val="24"/>
          <w:highlight w:val="none"/>
        </w:rPr>
      </w:pPr>
    </w:p>
    <w:p w14:paraId="710D1F98">
      <w:pPr>
        <w:pStyle w:val="310"/>
        <w:spacing w:line="480" w:lineRule="exact"/>
        <w:ind w:firstLine="442"/>
        <w:rPr>
          <w:rFonts w:ascii="Times New Roman" w:hAnsi="Times New Roman"/>
          <w:color w:val="auto"/>
          <w:sz w:val="24"/>
          <w:szCs w:val="24"/>
          <w:highlight w:val="none"/>
        </w:rPr>
      </w:pPr>
      <w:r>
        <w:rPr>
          <w:rFonts w:hint="eastAsia" w:ascii="Times New Roman" w:hAnsi="Times New Roman"/>
          <w:color w:val="auto"/>
          <w:sz w:val="24"/>
          <w:szCs w:val="24"/>
          <w:highlight w:val="none"/>
        </w:rPr>
        <w:t>备注：1.非残疾人福利性单位不需提供此函。</w:t>
      </w:r>
    </w:p>
    <w:p w14:paraId="204E0C88">
      <w:pPr>
        <w:pStyle w:val="310"/>
        <w:spacing w:line="480" w:lineRule="exact"/>
        <w:ind w:firstLine="442"/>
        <w:rPr>
          <w:rFonts w:hint="eastAsia" w:ascii="Times New Roman" w:hAnsi="Times New Roman"/>
          <w:color w:val="auto"/>
          <w:sz w:val="24"/>
          <w:szCs w:val="24"/>
          <w:highlight w:val="yellow"/>
        </w:rPr>
      </w:pPr>
      <w:r>
        <w:rPr>
          <w:rFonts w:hint="eastAsia" w:ascii="Times New Roman" w:hAnsi="Times New Roman"/>
          <w:color w:val="auto"/>
          <w:sz w:val="24"/>
          <w:szCs w:val="24"/>
          <w:highlight w:val="yellow"/>
        </w:rPr>
        <w:t>2.符合报价折扣情形的请将此函填报上传至“企业报价折扣证明”一栏中。</w:t>
      </w:r>
    </w:p>
    <w:p w14:paraId="5CD37771">
      <w:pPr>
        <w:spacing w:line="400" w:lineRule="exact"/>
        <w:ind w:firstLine="480" w:firstLineChars="200"/>
        <w:jc w:val="left"/>
        <w:rPr>
          <w:rFonts w:hint="default" w:ascii="Times New Roman" w:hAnsi="Times New Roman" w:eastAsia="宋体"/>
          <w:color w:val="FF0000"/>
          <w:sz w:val="24"/>
          <w:szCs w:val="24"/>
          <w:highlight w:val="yellow"/>
          <w:lang w:val="en-US" w:eastAsia="zh-CN"/>
        </w:rPr>
      </w:pPr>
      <w:r>
        <w:rPr>
          <w:rFonts w:hint="eastAsia" w:ascii="Times New Roman" w:hAnsi="Times New Roman"/>
          <w:color w:val="FF0000"/>
          <w:sz w:val="24"/>
          <w:szCs w:val="24"/>
          <w:highlight w:val="yellow"/>
          <w:lang w:val="en-US" w:eastAsia="zh-CN"/>
        </w:rPr>
        <w:t>注：专门面向中小企业的项目，如资格审查设置上传端口，请将此要求删</w:t>
      </w:r>
      <w:r>
        <w:rPr>
          <w:rFonts w:hint="eastAsia" w:ascii="Times New Roman" w:hAnsi="Times New Roman"/>
          <w:color w:val="FF0000"/>
          <w:sz w:val="24"/>
          <w:szCs w:val="24"/>
          <w:highlight w:val="yellow"/>
          <w:u w:val="single"/>
          <w:lang w:val="en-US" w:eastAsia="zh-CN"/>
        </w:rPr>
        <w:t>除</w:t>
      </w:r>
      <w:r>
        <w:rPr>
          <w:rFonts w:hint="eastAsia" w:ascii="Times New Roman" w:hAnsi="Times New Roman"/>
          <w:color w:val="FF0000"/>
          <w:sz w:val="24"/>
          <w:szCs w:val="24"/>
          <w:highlight w:val="yellow"/>
          <w:lang w:val="en-US" w:eastAsia="zh-CN"/>
        </w:rPr>
        <w:t>。</w:t>
      </w:r>
    </w:p>
    <w:p w14:paraId="038595C6">
      <w:pPr>
        <w:pStyle w:val="310"/>
        <w:spacing w:line="480" w:lineRule="exact"/>
        <w:ind w:firstLine="442"/>
        <w:rPr>
          <w:rFonts w:hint="eastAsia" w:ascii="Times New Roman" w:hAnsi="Times New Roman"/>
          <w:color w:val="auto"/>
          <w:sz w:val="24"/>
          <w:szCs w:val="24"/>
          <w:highlight w:val="none"/>
        </w:rPr>
      </w:pPr>
    </w:p>
    <w:p w14:paraId="296E7713">
      <w:pPr>
        <w:pStyle w:val="310"/>
        <w:spacing w:line="480" w:lineRule="exact"/>
        <w:ind w:firstLine="442"/>
        <w:rPr>
          <w:rFonts w:ascii="Times New Roman" w:hAnsi="Times New Roman"/>
          <w:color w:val="auto"/>
          <w:sz w:val="24"/>
          <w:szCs w:val="24"/>
          <w:highlight w:val="none"/>
        </w:rPr>
      </w:pPr>
    </w:p>
    <w:p w14:paraId="597B4014">
      <w:pPr>
        <w:pStyle w:val="310"/>
        <w:spacing w:line="480" w:lineRule="exact"/>
        <w:ind w:firstLine="442"/>
        <w:rPr>
          <w:rFonts w:ascii="Times New Roman" w:hAnsi="Times New Roman"/>
          <w:color w:val="auto"/>
          <w:sz w:val="24"/>
          <w:szCs w:val="24"/>
          <w:highlight w:val="none"/>
        </w:rPr>
      </w:pPr>
    </w:p>
    <w:p w14:paraId="518A3B91">
      <w:pPr>
        <w:pStyle w:val="310"/>
        <w:spacing w:line="480" w:lineRule="exact"/>
        <w:ind w:firstLine="442"/>
        <w:rPr>
          <w:rFonts w:ascii="Times New Roman" w:hAnsi="Times New Roman"/>
          <w:color w:val="auto"/>
          <w:sz w:val="24"/>
          <w:szCs w:val="24"/>
          <w:highlight w:val="none"/>
        </w:rPr>
      </w:pPr>
    </w:p>
    <w:p w14:paraId="5FC28BD0">
      <w:pPr>
        <w:pStyle w:val="310"/>
        <w:spacing w:line="480" w:lineRule="exact"/>
        <w:ind w:firstLine="442"/>
        <w:rPr>
          <w:rFonts w:ascii="Times New Roman" w:hAnsi="Times New Roman"/>
          <w:color w:val="auto"/>
          <w:sz w:val="24"/>
          <w:szCs w:val="24"/>
          <w:highlight w:val="none"/>
        </w:rPr>
      </w:pPr>
    </w:p>
    <w:p w14:paraId="376F745A">
      <w:pPr>
        <w:pStyle w:val="310"/>
        <w:spacing w:line="480" w:lineRule="exact"/>
        <w:rPr>
          <w:rFonts w:hint="eastAsia" w:ascii="Times New Roman" w:hAnsi="Times New Roman"/>
          <w:color w:val="auto"/>
          <w:sz w:val="24"/>
          <w:szCs w:val="24"/>
          <w:highlight w:val="none"/>
        </w:rPr>
      </w:pPr>
    </w:p>
    <w:p w14:paraId="13B2BBB0">
      <w:pPr>
        <w:pStyle w:val="310"/>
        <w:spacing w:line="480" w:lineRule="exact"/>
        <w:ind w:firstLine="442"/>
        <w:rPr>
          <w:rFonts w:ascii="Times New Roman" w:hAnsi="Times New Roman"/>
          <w:color w:val="auto"/>
          <w:sz w:val="24"/>
          <w:szCs w:val="24"/>
          <w:highlight w:val="none"/>
        </w:rPr>
      </w:pPr>
    </w:p>
    <w:p w14:paraId="427BE71E">
      <w:pPr>
        <w:pStyle w:val="310"/>
        <w:spacing w:line="480" w:lineRule="exact"/>
        <w:ind w:firstLine="442"/>
        <w:rPr>
          <w:rFonts w:ascii="Times New Roman" w:hAnsi="Times New Roman"/>
          <w:color w:val="auto"/>
          <w:sz w:val="24"/>
          <w:szCs w:val="24"/>
          <w:highlight w:val="none"/>
        </w:rPr>
      </w:pPr>
    </w:p>
    <w:p w14:paraId="29F8D6E9">
      <w:pPr>
        <w:pStyle w:val="310"/>
        <w:spacing w:line="480" w:lineRule="exact"/>
        <w:ind w:firstLine="442"/>
        <w:rPr>
          <w:rFonts w:ascii="Times New Roman" w:hAnsi="Times New Roman"/>
          <w:color w:val="auto"/>
          <w:sz w:val="24"/>
          <w:szCs w:val="24"/>
          <w:highlight w:val="none"/>
        </w:rPr>
      </w:pPr>
    </w:p>
    <w:p w14:paraId="706D1701">
      <w:pPr>
        <w:pStyle w:val="310"/>
        <w:spacing w:line="480" w:lineRule="exact"/>
        <w:rPr>
          <w:rFonts w:ascii="Times New Roman" w:hAnsi="Times New Roman"/>
          <w:color w:val="auto"/>
          <w:sz w:val="24"/>
          <w:szCs w:val="24"/>
          <w:highlight w:val="none"/>
        </w:rPr>
      </w:pPr>
    </w:p>
    <w:p w14:paraId="46DA7C74">
      <w:pPr>
        <w:pStyle w:val="310"/>
        <w:spacing w:line="480" w:lineRule="exact"/>
        <w:rPr>
          <w:rFonts w:ascii="Times New Roman" w:hAnsi="Times New Roman"/>
          <w:color w:val="auto"/>
          <w:sz w:val="24"/>
          <w:szCs w:val="24"/>
          <w:highlight w:val="none"/>
        </w:rPr>
      </w:pPr>
    </w:p>
    <w:p w14:paraId="4D2B46BA">
      <w:pPr>
        <w:pStyle w:val="310"/>
        <w:spacing w:line="480" w:lineRule="exact"/>
        <w:rPr>
          <w:rFonts w:hint="eastAsia" w:ascii="Times New Roman" w:hAnsi="Times New Roman"/>
          <w:color w:val="auto"/>
          <w:sz w:val="24"/>
          <w:szCs w:val="24"/>
          <w:highlight w:val="none"/>
        </w:rPr>
      </w:pPr>
    </w:p>
    <w:p w14:paraId="42E0A50D">
      <w:pPr>
        <w:pStyle w:val="3"/>
        <w:spacing w:before="0" w:after="0" w:line="520" w:lineRule="exact"/>
        <w:rPr>
          <w:rFonts w:hint="eastAsia" w:ascii="宋体" w:hAnsi="宋体" w:eastAsia="宋体" w:cs="宋体"/>
          <w:bCs/>
          <w:color w:val="auto"/>
          <w:szCs w:val="32"/>
          <w:highlight w:val="none"/>
        </w:rPr>
      </w:pPr>
      <w:r>
        <w:rPr>
          <w:rFonts w:hint="eastAsia" w:ascii="宋体" w:hAnsi="宋体" w:eastAsia="宋体" w:cs="宋体"/>
          <w:bCs/>
          <w:color w:val="auto"/>
          <w:szCs w:val="32"/>
          <w:highlight w:val="none"/>
        </w:rPr>
        <w:t>七、技术响应偏离表（技术参数响应）</w:t>
      </w:r>
    </w:p>
    <w:tbl>
      <w:tblPr>
        <w:tblStyle w:val="53"/>
        <w:tblW w:w="0" w:type="auto"/>
        <w:tblInd w:w="-117" w:type="dxa"/>
        <w:tblLayout w:type="autofit"/>
        <w:tblCellMar>
          <w:top w:w="0" w:type="dxa"/>
          <w:left w:w="108" w:type="dxa"/>
          <w:bottom w:w="0" w:type="dxa"/>
          <w:right w:w="108" w:type="dxa"/>
        </w:tblCellMar>
      </w:tblPr>
      <w:tblGrid>
        <w:gridCol w:w="2791"/>
        <w:gridCol w:w="2386"/>
        <w:gridCol w:w="1994"/>
        <w:gridCol w:w="2223"/>
      </w:tblGrid>
      <w:tr w14:paraId="490C5815">
        <w:tblPrEx>
          <w:tblCellMar>
            <w:top w:w="0" w:type="dxa"/>
            <w:left w:w="108" w:type="dxa"/>
            <w:bottom w:w="0" w:type="dxa"/>
            <w:right w:w="108" w:type="dxa"/>
          </w:tblCellMar>
        </w:tblPrEx>
        <w:trPr>
          <w:trHeight w:val="665" w:hRule="atLeast"/>
        </w:trPr>
        <w:tc>
          <w:tcPr>
            <w:tcW w:w="2791" w:type="dxa"/>
            <w:tcBorders>
              <w:top w:val="single" w:color="000000" w:sz="8" w:space="0"/>
              <w:left w:val="single" w:color="000000" w:sz="8" w:space="0"/>
              <w:bottom w:val="single" w:color="000000" w:sz="8" w:space="0"/>
              <w:right w:val="single" w:color="000000" w:sz="8" w:space="0"/>
            </w:tcBorders>
            <w:noWrap w:val="0"/>
            <w:vAlign w:val="center"/>
          </w:tcPr>
          <w:p w14:paraId="0737C25D">
            <w:pPr>
              <w:spacing w:before="100" w:line="559" w:lineRule="atLeast"/>
              <w:jc w:val="center"/>
              <w:rPr>
                <w:rFonts w:ascii="宋体" w:hAnsi="宋体" w:cs="仿宋"/>
                <w:color w:val="auto"/>
                <w:highlight w:val="none"/>
              </w:rPr>
            </w:pPr>
            <w:r>
              <w:rPr>
                <w:rFonts w:hint="eastAsia" w:ascii="宋体" w:hAnsi="宋体" w:cs="仿宋"/>
                <w:color w:val="auto"/>
                <w:sz w:val="28"/>
                <w:highlight w:val="none"/>
              </w:rPr>
              <w:t>招标文件内容</w:t>
            </w:r>
          </w:p>
        </w:tc>
        <w:tc>
          <w:tcPr>
            <w:tcW w:w="2386" w:type="dxa"/>
            <w:tcBorders>
              <w:top w:val="single" w:color="000000" w:sz="8" w:space="0"/>
              <w:left w:val="nil"/>
              <w:bottom w:val="single" w:color="000000" w:sz="8" w:space="0"/>
              <w:right w:val="single" w:color="000000" w:sz="8" w:space="0"/>
            </w:tcBorders>
            <w:noWrap w:val="0"/>
            <w:vAlign w:val="center"/>
          </w:tcPr>
          <w:p w14:paraId="3C143E72">
            <w:pPr>
              <w:spacing w:before="100" w:line="559" w:lineRule="atLeast"/>
              <w:jc w:val="center"/>
              <w:rPr>
                <w:rFonts w:ascii="宋体" w:hAnsi="宋体" w:cs="仿宋"/>
                <w:color w:val="auto"/>
                <w:highlight w:val="none"/>
              </w:rPr>
            </w:pPr>
            <w:r>
              <w:rPr>
                <w:rFonts w:hint="eastAsia" w:ascii="宋体" w:hAnsi="宋体" w:cs="仿宋"/>
                <w:color w:val="auto"/>
                <w:sz w:val="28"/>
                <w:highlight w:val="none"/>
              </w:rPr>
              <w:t>投标文件内容</w:t>
            </w:r>
          </w:p>
        </w:tc>
        <w:tc>
          <w:tcPr>
            <w:tcW w:w="1994" w:type="dxa"/>
            <w:tcBorders>
              <w:top w:val="single" w:color="000000" w:sz="8" w:space="0"/>
              <w:left w:val="nil"/>
              <w:bottom w:val="single" w:color="000000" w:sz="8" w:space="0"/>
              <w:right w:val="single" w:color="000000" w:sz="8" w:space="0"/>
            </w:tcBorders>
            <w:noWrap w:val="0"/>
            <w:vAlign w:val="center"/>
          </w:tcPr>
          <w:p w14:paraId="7A1387AE">
            <w:pPr>
              <w:spacing w:before="100" w:line="400" w:lineRule="exact"/>
              <w:jc w:val="center"/>
              <w:rPr>
                <w:rFonts w:ascii="宋体" w:hAnsi="宋体" w:cs="仿宋"/>
                <w:color w:val="auto"/>
                <w:sz w:val="28"/>
                <w:highlight w:val="none"/>
              </w:rPr>
            </w:pPr>
            <w:r>
              <w:rPr>
                <w:rFonts w:hint="eastAsia" w:ascii="宋体" w:hAnsi="宋体" w:cs="仿宋"/>
                <w:color w:val="auto"/>
                <w:sz w:val="28"/>
                <w:highlight w:val="none"/>
              </w:rPr>
              <w:t>偏离情况</w:t>
            </w:r>
          </w:p>
          <w:p w14:paraId="5FCC0AE0">
            <w:pPr>
              <w:spacing w:before="100" w:line="400" w:lineRule="exact"/>
              <w:jc w:val="center"/>
              <w:rPr>
                <w:rFonts w:hint="eastAsia" w:ascii="宋体" w:hAnsi="宋体" w:cs="仿宋"/>
                <w:color w:val="auto"/>
                <w:sz w:val="28"/>
                <w:highlight w:val="none"/>
              </w:rPr>
            </w:pPr>
            <w:r>
              <w:rPr>
                <w:rFonts w:hint="eastAsia" w:ascii="宋体" w:hAnsi="宋体" w:cs="仿宋"/>
                <w:color w:val="auto"/>
                <w:sz w:val="28"/>
                <w:highlight w:val="none"/>
              </w:rPr>
              <w:t>（</w:t>
            </w:r>
            <w:r>
              <w:rPr>
                <w:rFonts w:ascii="宋体" w:hAnsi="宋体" w:cs="仿宋"/>
                <w:b/>
                <w:color w:val="auto"/>
                <w:sz w:val="24"/>
                <w:highlight w:val="none"/>
              </w:rPr>
              <w:t>正偏离、负偏离、无偏离</w:t>
            </w:r>
            <w:r>
              <w:rPr>
                <w:rFonts w:hint="eastAsia" w:ascii="宋体" w:hAnsi="宋体" w:cs="仿宋"/>
                <w:color w:val="auto"/>
                <w:sz w:val="28"/>
                <w:highlight w:val="none"/>
              </w:rPr>
              <w:t>）</w:t>
            </w:r>
          </w:p>
        </w:tc>
        <w:tc>
          <w:tcPr>
            <w:tcW w:w="2223" w:type="dxa"/>
            <w:tcBorders>
              <w:top w:val="single" w:color="000000" w:sz="8" w:space="0"/>
              <w:left w:val="nil"/>
              <w:bottom w:val="single" w:color="000000" w:sz="8" w:space="0"/>
              <w:right w:val="single" w:color="000000" w:sz="8" w:space="0"/>
            </w:tcBorders>
            <w:noWrap w:val="0"/>
            <w:vAlign w:val="center"/>
          </w:tcPr>
          <w:p w14:paraId="774071D2">
            <w:pPr>
              <w:spacing w:before="100" w:line="559" w:lineRule="atLeast"/>
              <w:jc w:val="center"/>
              <w:rPr>
                <w:rFonts w:hint="eastAsia" w:ascii="宋体" w:hAnsi="宋体" w:cs="仿宋"/>
                <w:color w:val="auto"/>
                <w:sz w:val="28"/>
                <w:szCs w:val="28"/>
                <w:highlight w:val="none"/>
              </w:rPr>
            </w:pPr>
            <w:r>
              <w:rPr>
                <w:rFonts w:hint="eastAsia" w:ascii="宋体" w:hAnsi="宋体" w:cs="仿宋"/>
                <w:color w:val="auto"/>
                <w:sz w:val="28"/>
                <w:highlight w:val="none"/>
              </w:rPr>
              <w:t>偏离内容及说明</w:t>
            </w:r>
          </w:p>
        </w:tc>
      </w:tr>
      <w:tr w14:paraId="129FB8C7">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76D99F78">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56FED7A8">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0227501B">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7FD936EA">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64A20BE8">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0F826510">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5286DE4A">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20525B48">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00E59146">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680100C9">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088A3DD9">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70BA14EB">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4EED5FB9">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70719DD2">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04BCF096">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1887F991">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1B903EA1">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041300BB">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59EA7177">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3C1C556E">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2E7615EF">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4F28B1E2">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4BB44424">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5E7C440F">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1EB2C3C0">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3E89927B">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76BD0F97">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4B0A6344">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20233F5B">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4CE09964">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107D3E6F">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2121DBC0">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76ABE24A">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73B6D93E">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108AF990">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1A2ED2CB">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208FD68C">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0B6B1A49">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0397AEDD">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79B04E6F">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2AF14264">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0A17ECEA">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51B1F2EA">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52C69A5C">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r w14:paraId="0083126C">
        <w:tblPrEx>
          <w:tblCellMar>
            <w:top w:w="0" w:type="dxa"/>
            <w:left w:w="108" w:type="dxa"/>
            <w:bottom w:w="0" w:type="dxa"/>
            <w:right w:w="108" w:type="dxa"/>
          </w:tblCellMar>
        </w:tblPrEx>
        <w:trPr>
          <w:trHeight w:val="665" w:hRule="atLeast"/>
        </w:trPr>
        <w:tc>
          <w:tcPr>
            <w:tcW w:w="2791" w:type="dxa"/>
            <w:tcBorders>
              <w:top w:val="nil"/>
              <w:left w:val="single" w:color="000000" w:sz="8" w:space="0"/>
              <w:bottom w:val="single" w:color="000000" w:sz="8" w:space="0"/>
              <w:right w:val="single" w:color="000000" w:sz="8" w:space="0"/>
            </w:tcBorders>
            <w:noWrap w:val="0"/>
            <w:vAlign w:val="center"/>
          </w:tcPr>
          <w:p w14:paraId="6B25EF61">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2386" w:type="dxa"/>
            <w:tcBorders>
              <w:top w:val="nil"/>
              <w:left w:val="nil"/>
              <w:bottom w:val="single" w:color="000000" w:sz="8" w:space="0"/>
              <w:right w:val="single" w:color="000000" w:sz="8" w:space="0"/>
            </w:tcBorders>
            <w:noWrap w:val="0"/>
            <w:vAlign w:val="center"/>
          </w:tcPr>
          <w:p w14:paraId="3CCF9B69">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c>
          <w:tcPr>
            <w:tcW w:w="1994" w:type="dxa"/>
            <w:tcBorders>
              <w:top w:val="nil"/>
              <w:left w:val="nil"/>
              <w:bottom w:val="single" w:color="000000" w:sz="8" w:space="0"/>
              <w:right w:val="single" w:color="000000" w:sz="8" w:space="0"/>
            </w:tcBorders>
            <w:noWrap w:val="0"/>
            <w:vAlign w:val="center"/>
          </w:tcPr>
          <w:p w14:paraId="28FAACDF">
            <w:pPr>
              <w:spacing w:line="559" w:lineRule="atLeast"/>
              <w:jc w:val="center"/>
              <w:rPr>
                <w:rFonts w:hint="eastAsia" w:ascii="仿宋" w:hAnsi="仿宋" w:eastAsia="仿宋" w:cs="仿宋"/>
                <w:color w:val="auto"/>
                <w:sz w:val="24"/>
                <w:highlight w:val="none"/>
              </w:rPr>
            </w:pPr>
          </w:p>
        </w:tc>
        <w:tc>
          <w:tcPr>
            <w:tcW w:w="2223" w:type="dxa"/>
            <w:tcBorders>
              <w:top w:val="nil"/>
              <w:left w:val="nil"/>
              <w:bottom w:val="single" w:color="000000" w:sz="8" w:space="0"/>
              <w:right w:val="single" w:color="000000" w:sz="8" w:space="0"/>
            </w:tcBorders>
            <w:noWrap w:val="0"/>
            <w:vAlign w:val="center"/>
          </w:tcPr>
          <w:p w14:paraId="48DD0B3D">
            <w:pPr>
              <w:spacing w:line="559" w:lineRule="atLeast"/>
              <w:jc w:val="center"/>
              <w:rPr>
                <w:rFonts w:ascii="仿宋" w:hAnsi="仿宋" w:eastAsia="仿宋" w:cs="仿宋"/>
                <w:color w:val="auto"/>
                <w:highlight w:val="none"/>
              </w:rPr>
            </w:pPr>
            <w:r>
              <w:rPr>
                <w:rFonts w:hint="eastAsia" w:ascii="仿宋" w:hAnsi="仿宋" w:eastAsia="仿宋" w:cs="仿宋"/>
                <w:color w:val="auto"/>
                <w:sz w:val="24"/>
                <w:highlight w:val="none"/>
              </w:rPr>
              <w:t> </w:t>
            </w:r>
          </w:p>
        </w:tc>
      </w:tr>
    </w:tbl>
    <w:p w14:paraId="67D6CBE3">
      <w:pPr>
        <w:spacing w:line="559" w:lineRule="atLeast"/>
        <w:jc w:val="right"/>
        <w:rPr>
          <w:rFonts w:ascii="宋体" w:hAnsi="宋体" w:cs="仿宋"/>
          <w:color w:val="auto"/>
          <w:highlight w:val="none"/>
        </w:rPr>
      </w:pPr>
      <w:r>
        <w:rPr>
          <w:rFonts w:hint="eastAsia" w:ascii="宋体" w:hAnsi="宋体" w:cs="仿宋"/>
          <w:color w:val="auto"/>
          <w:sz w:val="24"/>
          <w:highlight w:val="none"/>
        </w:rPr>
        <w:t>单位名称：</w:t>
      </w:r>
      <w:r>
        <w:rPr>
          <w:rFonts w:hint="eastAsia" w:ascii="宋体" w:hAnsi="宋体" w:cs="仿宋"/>
          <w:color w:val="auto"/>
          <w:sz w:val="24"/>
          <w:highlight w:val="none"/>
          <w:u w:val="single"/>
        </w:rPr>
        <w:t>             </w:t>
      </w:r>
      <w:r>
        <w:rPr>
          <w:rFonts w:hint="eastAsia" w:ascii="宋体" w:hAnsi="宋体" w:cs="仿宋"/>
          <w:color w:val="auto"/>
          <w:sz w:val="24"/>
          <w:highlight w:val="none"/>
        </w:rPr>
        <w:t>（</w:t>
      </w:r>
      <w:r>
        <w:rPr>
          <w:rFonts w:ascii="宋体" w:hAnsi="宋体" w:cs="仿宋"/>
          <w:color w:val="auto"/>
          <w:sz w:val="24"/>
          <w:highlight w:val="none"/>
        </w:rPr>
        <w:t>盖</w:t>
      </w:r>
      <w:r>
        <w:rPr>
          <w:rFonts w:hint="eastAsia" w:ascii="宋体" w:hAnsi="宋体" w:cs="仿宋"/>
          <w:color w:val="auto"/>
          <w:sz w:val="24"/>
          <w:highlight w:val="none"/>
        </w:rPr>
        <w:t>CA</w:t>
      </w:r>
      <w:r>
        <w:rPr>
          <w:rFonts w:ascii="宋体" w:hAnsi="宋体" w:cs="仿宋"/>
          <w:color w:val="auto"/>
          <w:sz w:val="24"/>
          <w:highlight w:val="none"/>
        </w:rPr>
        <w:t>电子公章）</w:t>
      </w:r>
    </w:p>
    <w:p w14:paraId="3058D463">
      <w:pPr>
        <w:pStyle w:val="48"/>
        <w:widowControl w:val="0"/>
        <w:spacing w:before="0" w:beforeAutospacing="0" w:after="0" w:afterAutospacing="0" w:line="400" w:lineRule="exact"/>
        <w:ind w:firstLine="482" w:firstLineChars="200"/>
        <w:jc w:val="both"/>
        <w:rPr>
          <w:rFonts w:cs="仿宋"/>
          <w:b/>
          <w:bCs/>
          <w:color w:val="auto"/>
          <w:szCs w:val="28"/>
          <w:highlight w:val="none"/>
        </w:rPr>
      </w:pPr>
    </w:p>
    <w:p w14:paraId="74CEE5F2">
      <w:pPr>
        <w:pStyle w:val="48"/>
        <w:widowControl w:val="0"/>
        <w:spacing w:before="0" w:beforeAutospacing="0" w:after="0" w:afterAutospacing="0" w:line="400" w:lineRule="exact"/>
        <w:ind w:firstLine="482" w:firstLineChars="200"/>
        <w:jc w:val="both"/>
        <w:rPr>
          <w:rFonts w:ascii="Times New Roman" w:hAnsi="Times New Roman"/>
          <w:b/>
          <w:bCs/>
          <w:color w:val="auto"/>
          <w:szCs w:val="20"/>
          <w:highlight w:val="none"/>
        </w:rPr>
      </w:pPr>
      <w:r>
        <w:rPr>
          <w:rFonts w:hint="eastAsia" w:ascii="Times New Roman" w:hAnsi="Times New Roman" w:cs="仿宋"/>
          <w:b/>
          <w:bCs/>
          <w:color w:val="auto"/>
          <w:szCs w:val="28"/>
          <w:highlight w:val="none"/>
        </w:rPr>
        <w:t>备注：</w:t>
      </w:r>
      <w:r>
        <w:rPr>
          <w:rFonts w:hint="eastAsia" w:ascii="Times New Roman" w:hAnsi="Times New Roman" w:cs="仿宋"/>
          <w:color w:val="auto"/>
          <w:szCs w:val="28"/>
          <w:highlight w:val="none"/>
        </w:rPr>
        <w:t>1</w:t>
      </w:r>
      <w:bookmarkStart w:id="169" w:name="_Hlk187934629"/>
      <w:r>
        <w:rPr>
          <w:rFonts w:hint="eastAsia" w:ascii="Times New Roman" w:hAnsi="Times New Roman" w:cs="仿宋"/>
          <w:color w:val="auto"/>
          <w:szCs w:val="28"/>
          <w:highlight w:val="none"/>
        </w:rPr>
        <w:t>.</w:t>
      </w:r>
      <w:r>
        <w:rPr>
          <w:rFonts w:hint="eastAsia" w:ascii="Times New Roman" w:hAnsi="Times New Roman"/>
          <w:color w:val="auto"/>
          <w:szCs w:val="20"/>
          <w:highlight w:val="none"/>
        </w:rPr>
        <w:t>针对采购需求中的实质性要求（“★”内容），投标人须做出明确响应。采购需求中要求提供证明材料的，以证明材料为准；若《技术响应偏离表》填写情况与提供证明材料的内容不一致，以证明材料为准；采购需求中未要求提供证明材料的，以《技术响应偏离表》为准，《技术响应偏离表》中未列明的，</w:t>
      </w:r>
      <w:r>
        <w:rPr>
          <w:rFonts w:hint="eastAsia" w:ascii="Times New Roman" w:hAnsi="Times New Roman"/>
          <w:b/>
          <w:bCs/>
          <w:color w:val="auto"/>
          <w:szCs w:val="20"/>
          <w:highlight w:val="none"/>
        </w:rPr>
        <w:t>作无效响应处理。</w:t>
      </w:r>
    </w:p>
    <w:p w14:paraId="2CC36D7A">
      <w:pPr>
        <w:pStyle w:val="48"/>
        <w:widowControl w:val="0"/>
        <w:spacing w:before="0" w:beforeAutospacing="0" w:after="0" w:afterAutospacing="0" w:line="400" w:lineRule="exact"/>
        <w:ind w:firstLine="480" w:firstLineChars="200"/>
        <w:jc w:val="both"/>
        <w:rPr>
          <w:rFonts w:ascii="Times New Roman" w:hAnsi="Times New Roman"/>
          <w:color w:val="auto"/>
          <w:szCs w:val="20"/>
          <w:highlight w:val="none"/>
        </w:rPr>
      </w:pPr>
      <w:r>
        <w:rPr>
          <w:rFonts w:hint="eastAsia" w:ascii="Times New Roman" w:hAnsi="Times New Roman" w:cs="仿宋"/>
          <w:color w:val="auto"/>
          <w:szCs w:val="28"/>
          <w:highlight w:val="none"/>
        </w:rPr>
        <w:t>2.对采购需求的</w:t>
      </w:r>
      <w:r>
        <w:rPr>
          <w:rFonts w:hint="eastAsia" w:ascii="Times New Roman" w:hAnsi="Times New Roman" w:cs="仿宋"/>
          <w:color w:val="auto"/>
          <w:szCs w:val="28"/>
          <w:highlight w:val="none"/>
          <w:lang w:eastAsia="zh-CN"/>
        </w:rPr>
        <w:t>其他</w:t>
      </w:r>
      <w:r>
        <w:rPr>
          <w:rFonts w:hint="eastAsia" w:ascii="Times New Roman" w:hAnsi="Times New Roman" w:cs="仿宋"/>
          <w:color w:val="auto"/>
          <w:szCs w:val="28"/>
          <w:highlight w:val="none"/>
        </w:rPr>
        <w:t>非实质性要求，投标人按所投产品情况</w:t>
      </w:r>
      <w:r>
        <w:rPr>
          <w:rFonts w:ascii="Times New Roman" w:hAnsi="Times New Roman" w:cs="仿宋"/>
          <w:color w:val="auto"/>
          <w:szCs w:val="28"/>
          <w:highlight w:val="none"/>
        </w:rPr>
        <w:t>在此表中详细列出偏离情况（包括正偏离、负偏离、无偏离）并说明理由</w:t>
      </w:r>
      <w:r>
        <w:rPr>
          <w:rFonts w:hint="eastAsia" w:ascii="Times New Roman" w:hAnsi="Times New Roman" w:cs="仿宋"/>
          <w:color w:val="auto"/>
          <w:szCs w:val="28"/>
          <w:highlight w:val="none"/>
        </w:rPr>
        <w:t>；未列明的均视为未响应招标文件要求</w:t>
      </w:r>
      <w:r>
        <w:rPr>
          <w:rFonts w:ascii="Times New Roman" w:hAnsi="Times New Roman" w:cs="仿宋"/>
          <w:color w:val="auto"/>
          <w:szCs w:val="28"/>
          <w:highlight w:val="none"/>
        </w:rPr>
        <w:t>。</w:t>
      </w:r>
    </w:p>
    <w:p w14:paraId="7C3E622F">
      <w:pPr>
        <w:pBdr>
          <w:top w:val="none" w:color="000000" w:sz="0" w:space="0"/>
          <w:left w:val="none" w:color="000000" w:sz="0" w:space="0"/>
          <w:bottom w:val="none" w:color="000000" w:sz="0" w:space="0"/>
          <w:right w:val="none" w:color="000000" w:sz="0" w:space="0"/>
        </w:pBdr>
        <w:spacing w:line="400" w:lineRule="exact"/>
        <w:rPr>
          <w:rFonts w:hint="eastAsia" w:ascii="Times New Roman" w:hAnsi="Times New Roman"/>
          <w:color w:val="auto"/>
          <w:sz w:val="24"/>
          <w:szCs w:val="21"/>
          <w:highlight w:val="none"/>
        </w:rPr>
      </w:pPr>
    </w:p>
    <w:bookmarkEnd w:id="169"/>
    <w:p w14:paraId="21F56F46">
      <w:pPr>
        <w:pStyle w:val="3"/>
        <w:rPr>
          <w:rFonts w:hint="eastAsia" w:ascii="宋体" w:hAnsi="宋体" w:eastAsia="宋体" w:cs="宋体"/>
          <w:bCs/>
          <w:color w:val="auto"/>
          <w:highlight w:val="none"/>
        </w:rPr>
      </w:pPr>
      <w:bookmarkStart w:id="170" w:name="_Toc15871"/>
      <w:bookmarkStart w:id="171" w:name="_Toc25337"/>
      <w:r>
        <w:rPr>
          <w:rFonts w:hint="eastAsia" w:ascii="宋体" w:hAnsi="宋体" w:eastAsia="宋体" w:cs="宋体"/>
          <w:bCs/>
          <w:color w:val="auto"/>
          <w:highlight w:val="none"/>
        </w:rPr>
        <w:t>八、项目组人员</w:t>
      </w:r>
    </w:p>
    <w:tbl>
      <w:tblPr>
        <w:tblStyle w:val="53"/>
        <w:tblpPr w:leftFromText="180" w:rightFromText="180" w:vertAnchor="text" w:horzAnchor="margin" w:tblpXSpec="center" w:tblpY="7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843"/>
        <w:gridCol w:w="992"/>
        <w:gridCol w:w="1984"/>
        <w:gridCol w:w="1702"/>
        <w:gridCol w:w="962"/>
      </w:tblGrid>
      <w:tr w14:paraId="1265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6"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2E1D6E53">
            <w:pPr>
              <w:pStyle w:val="399"/>
              <w:widowControl/>
              <w:spacing w:beforeAutospacing="1" w:line="560" w:lineRule="exact"/>
              <w:jc w:val="center"/>
              <w:rPr>
                <w:rFonts w:hint="eastAsia" w:ascii="宋体" w:hAnsi="宋体" w:cs="仿宋"/>
                <w:color w:val="auto"/>
                <w:sz w:val="28"/>
                <w:szCs w:val="28"/>
                <w:highlight w:val="none"/>
              </w:rPr>
            </w:pPr>
            <w:r>
              <w:rPr>
                <w:rFonts w:hint="eastAsia" w:ascii="宋体" w:hAnsi="宋体" w:cs="仿宋"/>
                <w:color w:val="auto"/>
                <w:sz w:val="28"/>
                <w:szCs w:val="28"/>
                <w:highlight w:val="none"/>
              </w:rPr>
              <w:t>姓名</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557F9B1">
            <w:pPr>
              <w:pStyle w:val="399"/>
              <w:widowControl/>
              <w:spacing w:beforeAutospacing="1" w:line="560" w:lineRule="exact"/>
              <w:jc w:val="center"/>
              <w:rPr>
                <w:rFonts w:hint="eastAsia" w:ascii="宋体" w:hAnsi="宋体" w:cs="仿宋"/>
                <w:color w:val="auto"/>
                <w:sz w:val="28"/>
                <w:szCs w:val="28"/>
                <w:highlight w:val="none"/>
              </w:rPr>
            </w:pPr>
            <w:r>
              <w:rPr>
                <w:rFonts w:hint="eastAsia" w:ascii="宋体" w:hAnsi="宋体" w:cs="仿宋"/>
                <w:color w:val="auto"/>
                <w:sz w:val="28"/>
                <w:szCs w:val="28"/>
                <w:highlight w:val="none"/>
              </w:rPr>
              <w:t>职务</w:t>
            </w: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FCB73CA">
            <w:pPr>
              <w:pStyle w:val="399"/>
              <w:widowControl/>
              <w:spacing w:beforeAutospacing="1" w:line="560" w:lineRule="exact"/>
              <w:jc w:val="center"/>
              <w:rPr>
                <w:rFonts w:hint="eastAsia" w:ascii="宋体" w:hAnsi="宋体" w:cs="仿宋"/>
                <w:color w:val="auto"/>
                <w:sz w:val="28"/>
                <w:szCs w:val="28"/>
                <w:highlight w:val="none"/>
              </w:rPr>
            </w:pPr>
            <w:r>
              <w:rPr>
                <w:rFonts w:hint="eastAsia" w:ascii="宋体" w:hAnsi="宋体" w:cs="仿宋"/>
                <w:color w:val="auto"/>
                <w:sz w:val="28"/>
                <w:szCs w:val="28"/>
                <w:highlight w:val="none"/>
              </w:rPr>
              <w:t>学历</w:t>
            </w: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114FA3AE">
            <w:pPr>
              <w:pStyle w:val="399"/>
              <w:widowControl/>
              <w:spacing w:beforeAutospacing="1" w:line="560" w:lineRule="exact"/>
              <w:ind w:firstLine="280"/>
              <w:rPr>
                <w:rFonts w:hint="eastAsia" w:ascii="宋体" w:hAnsi="宋体" w:cs="仿宋"/>
                <w:color w:val="auto"/>
                <w:sz w:val="28"/>
                <w:szCs w:val="28"/>
                <w:highlight w:val="none"/>
              </w:rPr>
            </w:pPr>
            <w:r>
              <w:rPr>
                <w:rFonts w:hint="eastAsia" w:ascii="宋体" w:hAnsi="宋体" w:cs="仿宋"/>
                <w:color w:val="auto"/>
                <w:sz w:val="28"/>
                <w:szCs w:val="28"/>
                <w:highlight w:val="none"/>
              </w:rPr>
              <w:t>身份证号</w:t>
            </w: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0C0B4F4B">
            <w:pPr>
              <w:pStyle w:val="399"/>
              <w:widowControl/>
              <w:spacing w:beforeAutospacing="1" w:line="560" w:lineRule="exact"/>
              <w:jc w:val="center"/>
              <w:rPr>
                <w:rFonts w:hint="eastAsia" w:ascii="宋体" w:hAnsi="宋体" w:cs="仿宋"/>
                <w:color w:val="auto"/>
                <w:sz w:val="28"/>
                <w:szCs w:val="28"/>
                <w:highlight w:val="none"/>
              </w:rPr>
            </w:pPr>
            <w:r>
              <w:rPr>
                <w:rFonts w:hint="eastAsia" w:ascii="宋体" w:hAnsi="宋体" w:cs="仿宋"/>
                <w:color w:val="auto"/>
                <w:sz w:val="28"/>
                <w:szCs w:val="28"/>
                <w:highlight w:val="none"/>
              </w:rPr>
              <w:t>相关证书</w:t>
            </w: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12F26934">
            <w:pPr>
              <w:pStyle w:val="399"/>
              <w:widowControl/>
              <w:spacing w:beforeAutospacing="1" w:line="560" w:lineRule="exact"/>
              <w:rPr>
                <w:rFonts w:hint="eastAsia" w:ascii="宋体" w:hAnsi="宋体" w:cs="仿宋"/>
                <w:color w:val="auto"/>
                <w:sz w:val="28"/>
                <w:szCs w:val="28"/>
                <w:highlight w:val="none"/>
              </w:rPr>
            </w:pPr>
            <w:r>
              <w:rPr>
                <w:rFonts w:hint="eastAsia" w:ascii="宋体" w:hAnsi="宋体" w:cs="仿宋"/>
                <w:color w:val="auto"/>
                <w:sz w:val="28"/>
                <w:szCs w:val="28"/>
                <w:highlight w:val="none"/>
              </w:rPr>
              <w:t>备注</w:t>
            </w:r>
          </w:p>
        </w:tc>
      </w:tr>
      <w:tr w14:paraId="33855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540313C5">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73806A64">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0543423D">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585E0983">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69FB5AA0">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7253D2F1">
            <w:pPr>
              <w:pStyle w:val="399"/>
              <w:widowControl/>
              <w:spacing w:line="560" w:lineRule="exact"/>
              <w:ind w:firstLine="560"/>
              <w:jc w:val="center"/>
              <w:rPr>
                <w:rFonts w:hint="eastAsia" w:ascii="仿宋" w:hAnsi="仿宋" w:eastAsia="仿宋" w:cs="仿宋"/>
                <w:color w:val="auto"/>
                <w:sz w:val="28"/>
                <w:szCs w:val="28"/>
                <w:highlight w:val="none"/>
              </w:rPr>
            </w:pPr>
          </w:p>
        </w:tc>
      </w:tr>
      <w:tr w14:paraId="05C7F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78E9BF46">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6BB8EAE">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BD09106">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38407000">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2C1289CB">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7D5098EE">
            <w:pPr>
              <w:pStyle w:val="399"/>
              <w:widowControl/>
              <w:spacing w:line="560" w:lineRule="exact"/>
              <w:ind w:firstLine="560"/>
              <w:jc w:val="center"/>
              <w:rPr>
                <w:rFonts w:hint="eastAsia" w:ascii="仿宋" w:hAnsi="仿宋" w:eastAsia="仿宋" w:cs="仿宋"/>
                <w:color w:val="auto"/>
                <w:sz w:val="28"/>
                <w:szCs w:val="28"/>
                <w:highlight w:val="none"/>
              </w:rPr>
            </w:pPr>
          </w:p>
        </w:tc>
      </w:tr>
      <w:tr w14:paraId="5C38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5BC1CC21">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60D82E12">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8B9F7AD">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24FB7473">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1642F224">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737B9725">
            <w:pPr>
              <w:pStyle w:val="399"/>
              <w:widowControl/>
              <w:spacing w:line="560" w:lineRule="exact"/>
              <w:ind w:firstLine="560"/>
              <w:jc w:val="center"/>
              <w:rPr>
                <w:rFonts w:hint="eastAsia" w:ascii="仿宋" w:hAnsi="仿宋" w:eastAsia="仿宋" w:cs="仿宋"/>
                <w:color w:val="auto"/>
                <w:sz w:val="28"/>
                <w:szCs w:val="28"/>
                <w:highlight w:val="none"/>
              </w:rPr>
            </w:pPr>
          </w:p>
        </w:tc>
      </w:tr>
      <w:tr w14:paraId="47F53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2CE5BD73">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2BAA577F">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5E2F8E0C">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6504C991">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5E6A5CD1">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1BF87EBB">
            <w:pPr>
              <w:pStyle w:val="399"/>
              <w:widowControl/>
              <w:spacing w:line="560" w:lineRule="exact"/>
              <w:ind w:firstLine="560"/>
              <w:jc w:val="center"/>
              <w:rPr>
                <w:rFonts w:hint="eastAsia" w:ascii="仿宋" w:hAnsi="仿宋" w:eastAsia="仿宋" w:cs="仿宋"/>
                <w:color w:val="auto"/>
                <w:sz w:val="28"/>
                <w:szCs w:val="28"/>
                <w:highlight w:val="none"/>
              </w:rPr>
            </w:pPr>
          </w:p>
        </w:tc>
      </w:tr>
      <w:tr w14:paraId="3AB62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6BDC57FA">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31D3131E">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636065DE">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1A42334D">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76C02A7B">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36CC42FC">
            <w:pPr>
              <w:pStyle w:val="399"/>
              <w:widowControl/>
              <w:spacing w:line="560" w:lineRule="exact"/>
              <w:ind w:firstLine="560"/>
              <w:jc w:val="center"/>
              <w:rPr>
                <w:rFonts w:hint="eastAsia" w:ascii="仿宋" w:hAnsi="仿宋" w:eastAsia="仿宋" w:cs="仿宋"/>
                <w:color w:val="auto"/>
                <w:sz w:val="28"/>
                <w:szCs w:val="28"/>
                <w:highlight w:val="none"/>
              </w:rPr>
            </w:pPr>
          </w:p>
        </w:tc>
      </w:tr>
      <w:tr w14:paraId="4FB73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2DABEB2E">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9D5E3C0">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1ABF5B84">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10B6BC73">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43D75780">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69B01532">
            <w:pPr>
              <w:pStyle w:val="399"/>
              <w:widowControl/>
              <w:spacing w:line="560" w:lineRule="exact"/>
              <w:ind w:firstLine="560"/>
              <w:jc w:val="center"/>
              <w:rPr>
                <w:rFonts w:hint="eastAsia" w:ascii="仿宋" w:hAnsi="仿宋" w:eastAsia="仿宋" w:cs="仿宋"/>
                <w:color w:val="auto"/>
                <w:sz w:val="28"/>
                <w:szCs w:val="28"/>
                <w:highlight w:val="none"/>
              </w:rPr>
            </w:pPr>
          </w:p>
        </w:tc>
      </w:tr>
      <w:tr w14:paraId="2F3BC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36651533">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57F03FAF">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4FBF7BB5">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177929BB">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6D579005">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36591679">
            <w:pPr>
              <w:pStyle w:val="399"/>
              <w:widowControl/>
              <w:spacing w:line="560" w:lineRule="exact"/>
              <w:ind w:firstLine="560"/>
              <w:jc w:val="center"/>
              <w:rPr>
                <w:rFonts w:hint="eastAsia" w:ascii="仿宋" w:hAnsi="仿宋" w:eastAsia="仿宋" w:cs="仿宋"/>
                <w:color w:val="auto"/>
                <w:sz w:val="28"/>
                <w:szCs w:val="28"/>
                <w:highlight w:val="none"/>
              </w:rPr>
            </w:pPr>
          </w:p>
        </w:tc>
      </w:tr>
      <w:tr w14:paraId="0726C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959" w:type="dxa"/>
            <w:tcBorders>
              <w:top w:val="single" w:color="000000" w:sz="4" w:space="0"/>
              <w:left w:val="single" w:color="000000" w:sz="4" w:space="0"/>
              <w:bottom w:val="single" w:color="000000" w:sz="4" w:space="0"/>
              <w:right w:val="single" w:color="000000" w:sz="4" w:space="0"/>
            </w:tcBorders>
            <w:noWrap w:val="0"/>
            <w:vAlign w:val="center"/>
          </w:tcPr>
          <w:p w14:paraId="76CE8218">
            <w:pPr>
              <w:pStyle w:val="399"/>
              <w:widowControl/>
              <w:spacing w:line="560" w:lineRule="exact"/>
              <w:ind w:firstLine="560"/>
              <w:jc w:val="center"/>
              <w:rPr>
                <w:rFonts w:hint="eastAsia" w:ascii="仿宋" w:hAnsi="仿宋" w:eastAsia="仿宋" w:cs="仿宋"/>
                <w:color w:val="auto"/>
                <w:sz w:val="28"/>
                <w:szCs w:val="28"/>
                <w:highlight w:val="none"/>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14:paraId="13DF1ABB">
            <w:pPr>
              <w:pStyle w:val="459"/>
              <w:jc w:val="center"/>
              <w:rPr>
                <w:rFonts w:hint="eastAsia" w:ascii="仿宋" w:hAnsi="仿宋" w:eastAsia="仿宋" w:cs="仿宋"/>
                <w:color w:val="auto"/>
                <w:sz w:val="20"/>
                <w:szCs w:val="20"/>
                <w:highlight w:val="none"/>
              </w:rPr>
            </w:pPr>
          </w:p>
        </w:tc>
        <w:tc>
          <w:tcPr>
            <w:tcW w:w="992" w:type="dxa"/>
            <w:tcBorders>
              <w:top w:val="single" w:color="000000" w:sz="4" w:space="0"/>
              <w:left w:val="single" w:color="000000" w:sz="4" w:space="0"/>
              <w:bottom w:val="single" w:color="000000" w:sz="4" w:space="0"/>
              <w:right w:val="single" w:color="000000" w:sz="4" w:space="0"/>
            </w:tcBorders>
            <w:noWrap w:val="0"/>
            <w:vAlign w:val="center"/>
          </w:tcPr>
          <w:p w14:paraId="308A7094">
            <w:pPr>
              <w:pStyle w:val="399"/>
              <w:widowControl/>
              <w:spacing w:line="560" w:lineRule="exact"/>
              <w:ind w:firstLine="560"/>
              <w:jc w:val="center"/>
              <w:rPr>
                <w:rFonts w:hint="eastAsia" w:ascii="仿宋" w:hAnsi="仿宋" w:eastAsia="仿宋" w:cs="仿宋"/>
                <w:color w:val="auto"/>
                <w:sz w:val="28"/>
                <w:szCs w:val="28"/>
                <w:highlight w:val="none"/>
              </w:rPr>
            </w:pPr>
          </w:p>
        </w:tc>
        <w:tc>
          <w:tcPr>
            <w:tcW w:w="1984" w:type="dxa"/>
            <w:tcBorders>
              <w:top w:val="single" w:color="000000" w:sz="4" w:space="0"/>
              <w:left w:val="single" w:color="000000" w:sz="4" w:space="0"/>
              <w:bottom w:val="single" w:color="000000" w:sz="4" w:space="0"/>
              <w:right w:val="single" w:color="000000" w:sz="4" w:space="0"/>
            </w:tcBorders>
            <w:noWrap w:val="0"/>
            <w:vAlign w:val="center"/>
          </w:tcPr>
          <w:p w14:paraId="240E2361">
            <w:pPr>
              <w:pStyle w:val="399"/>
              <w:widowControl/>
              <w:spacing w:line="560" w:lineRule="exact"/>
              <w:ind w:firstLine="560"/>
              <w:jc w:val="center"/>
              <w:rPr>
                <w:rFonts w:hint="eastAsia" w:ascii="仿宋" w:hAnsi="仿宋" w:eastAsia="仿宋" w:cs="仿宋"/>
                <w:color w:val="auto"/>
                <w:sz w:val="28"/>
                <w:szCs w:val="28"/>
                <w:highlight w:val="none"/>
              </w:rPr>
            </w:pPr>
          </w:p>
        </w:tc>
        <w:tc>
          <w:tcPr>
            <w:tcW w:w="1702" w:type="dxa"/>
            <w:tcBorders>
              <w:top w:val="single" w:color="000000" w:sz="4" w:space="0"/>
              <w:left w:val="single" w:color="000000" w:sz="4" w:space="0"/>
              <w:bottom w:val="single" w:color="000000" w:sz="4" w:space="0"/>
              <w:right w:val="single" w:color="000000" w:sz="4" w:space="0"/>
            </w:tcBorders>
            <w:noWrap w:val="0"/>
            <w:vAlign w:val="center"/>
          </w:tcPr>
          <w:p w14:paraId="0B5AAAC9">
            <w:pPr>
              <w:pStyle w:val="399"/>
              <w:widowControl/>
              <w:spacing w:line="560" w:lineRule="exact"/>
              <w:ind w:firstLine="560"/>
              <w:jc w:val="center"/>
              <w:rPr>
                <w:rFonts w:hint="eastAsia" w:ascii="仿宋" w:hAnsi="仿宋" w:eastAsia="仿宋" w:cs="仿宋"/>
                <w:color w:val="auto"/>
                <w:sz w:val="28"/>
                <w:szCs w:val="28"/>
                <w:highlight w:val="none"/>
              </w:rPr>
            </w:pPr>
          </w:p>
        </w:tc>
        <w:tc>
          <w:tcPr>
            <w:tcW w:w="962" w:type="dxa"/>
            <w:tcBorders>
              <w:top w:val="single" w:color="000000" w:sz="4" w:space="0"/>
              <w:left w:val="single" w:color="000000" w:sz="4" w:space="0"/>
              <w:bottom w:val="single" w:color="000000" w:sz="4" w:space="0"/>
              <w:right w:val="single" w:color="000000" w:sz="4" w:space="0"/>
            </w:tcBorders>
            <w:noWrap w:val="0"/>
            <w:vAlign w:val="center"/>
          </w:tcPr>
          <w:p w14:paraId="405FB09F">
            <w:pPr>
              <w:pStyle w:val="399"/>
              <w:widowControl/>
              <w:spacing w:line="560" w:lineRule="exact"/>
              <w:ind w:firstLine="560"/>
              <w:jc w:val="center"/>
              <w:rPr>
                <w:rFonts w:hint="eastAsia" w:ascii="仿宋" w:hAnsi="仿宋" w:eastAsia="仿宋" w:cs="仿宋"/>
                <w:color w:val="auto"/>
                <w:sz w:val="28"/>
                <w:szCs w:val="28"/>
                <w:highlight w:val="none"/>
              </w:rPr>
            </w:pPr>
          </w:p>
        </w:tc>
      </w:tr>
    </w:tbl>
    <w:p w14:paraId="2CC54448">
      <w:pPr>
        <w:spacing w:line="480" w:lineRule="exact"/>
        <w:ind w:firstLine="210"/>
        <w:rPr>
          <w:rFonts w:hint="eastAsia" w:ascii="Times New Roman" w:hAnsi="Times New Roman" w:cs="宋体"/>
          <w:color w:val="auto"/>
          <w:sz w:val="24"/>
          <w:szCs w:val="20"/>
          <w:highlight w:val="none"/>
        </w:rPr>
      </w:pPr>
      <w:r>
        <w:rPr>
          <w:rFonts w:hint="eastAsia" w:ascii="Times New Roman" w:hAnsi="Times New Roman" w:cs="宋体"/>
          <w:color w:val="auto"/>
          <w:sz w:val="24"/>
          <w:szCs w:val="20"/>
          <w:highlight w:val="none"/>
        </w:rPr>
        <w:t>注：如投标人中标，项目组成员按本表承诺人员操作，不得随意更换。按采购文件要求附相关人员证书。</w:t>
      </w:r>
      <w:bookmarkStart w:id="172" w:name="_格式2__法定代表人授权书"/>
      <w:bookmarkEnd w:id="172"/>
    </w:p>
    <w:p w14:paraId="5BB30E73">
      <w:pPr>
        <w:ind w:firstLine="210"/>
        <w:rPr>
          <w:rFonts w:hint="eastAsia" w:ascii="仿宋" w:hAnsi="仿宋" w:eastAsia="仿宋" w:cs="仿宋"/>
          <w:color w:val="auto"/>
          <w:szCs w:val="21"/>
          <w:highlight w:val="none"/>
        </w:rPr>
      </w:pPr>
    </w:p>
    <w:p w14:paraId="718DA87A">
      <w:pPr>
        <w:ind w:firstLine="210"/>
        <w:rPr>
          <w:rFonts w:hint="eastAsia" w:ascii="仿宋" w:hAnsi="仿宋" w:eastAsia="仿宋" w:cs="仿宋"/>
          <w:color w:val="auto"/>
          <w:szCs w:val="21"/>
          <w:highlight w:val="none"/>
        </w:rPr>
      </w:pPr>
    </w:p>
    <w:p w14:paraId="2D56987B">
      <w:pPr>
        <w:pStyle w:val="327"/>
        <w:ind w:left="210"/>
        <w:outlineLvl w:val="1"/>
        <w:rPr>
          <w:rFonts w:hint="eastAsia" w:ascii="宋体"/>
          <w:b w:val="0"/>
          <w:color w:val="auto"/>
          <w:szCs w:val="32"/>
          <w:highlight w:val="none"/>
        </w:rPr>
      </w:pPr>
      <w:r>
        <w:rPr>
          <w:rFonts w:hint="eastAsia" w:ascii="宋体"/>
          <w:b w:val="0"/>
          <w:color w:val="auto"/>
          <w:szCs w:val="32"/>
          <w:highlight w:val="none"/>
        </w:rPr>
        <w:br w:type="page"/>
      </w:r>
      <w:r>
        <w:rPr>
          <w:rFonts w:hint="eastAsia" w:ascii="宋体"/>
          <w:b w:val="0"/>
          <w:color w:val="auto"/>
          <w:szCs w:val="32"/>
          <w:highlight w:val="none"/>
        </w:rPr>
        <w:t>九、企业业绩</w:t>
      </w:r>
      <w:bookmarkEnd w:id="170"/>
      <w:bookmarkEnd w:id="171"/>
    </w:p>
    <w:p w14:paraId="740C0055">
      <w:pPr>
        <w:pStyle w:val="335"/>
        <w:jc w:val="center"/>
        <w:rPr>
          <w:rFonts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投标人</w:t>
      </w:r>
      <w:bookmarkStart w:id="173" w:name="_Hlk187935031"/>
      <w:r>
        <w:rPr>
          <w:rFonts w:hint="eastAsia" w:ascii="方正小标宋_GBK" w:eastAsia="方正小标宋_GBK"/>
          <w:bCs/>
          <w:color w:val="auto"/>
          <w:sz w:val="32"/>
          <w:szCs w:val="32"/>
          <w:highlight w:val="none"/>
        </w:rPr>
        <w:t>自</w:t>
      </w:r>
      <w:r>
        <w:rPr>
          <w:rFonts w:hint="eastAsia" w:ascii="方正小标宋_GBK" w:eastAsia="方正小标宋_GBK"/>
          <w:bCs/>
          <w:color w:val="auto"/>
          <w:sz w:val="32"/>
          <w:szCs w:val="32"/>
          <w:highlight w:val="none"/>
          <w:u w:val="single"/>
          <w:lang w:val="en-US" w:eastAsia="zh-CN"/>
        </w:rPr>
        <w:t xml:space="preserve">   </w:t>
      </w:r>
      <w:r>
        <w:rPr>
          <w:rFonts w:hint="eastAsia" w:ascii="方正小标宋_GBK" w:eastAsia="方正小标宋_GBK"/>
          <w:bCs/>
          <w:color w:val="auto"/>
          <w:sz w:val="32"/>
          <w:szCs w:val="32"/>
          <w:highlight w:val="none"/>
        </w:rPr>
        <w:t>年</w:t>
      </w:r>
      <w:r>
        <w:rPr>
          <w:rFonts w:hint="eastAsia" w:ascii="方正小标宋_GBK" w:eastAsia="方正小标宋_GBK"/>
          <w:bCs/>
          <w:color w:val="auto"/>
          <w:sz w:val="32"/>
          <w:szCs w:val="32"/>
          <w:highlight w:val="none"/>
          <w:u w:val="single"/>
          <w:lang w:val="en-US" w:eastAsia="zh-CN"/>
        </w:rPr>
        <w:t xml:space="preserve">   </w:t>
      </w:r>
      <w:r>
        <w:rPr>
          <w:rFonts w:hint="eastAsia" w:ascii="方正小标宋_GBK" w:eastAsia="方正小标宋_GBK"/>
          <w:bCs/>
          <w:color w:val="auto"/>
          <w:sz w:val="32"/>
          <w:szCs w:val="32"/>
          <w:highlight w:val="none"/>
          <w:u w:val="none"/>
          <w:lang w:val="en-US" w:eastAsia="zh-CN"/>
        </w:rPr>
        <w:t>月</w:t>
      </w:r>
      <w:r>
        <w:rPr>
          <w:rFonts w:hint="eastAsia" w:ascii="方正小标宋_GBK" w:eastAsia="方正小标宋_GBK"/>
          <w:bCs/>
          <w:color w:val="auto"/>
          <w:sz w:val="32"/>
          <w:szCs w:val="32"/>
          <w:highlight w:val="none"/>
          <w:u w:val="single"/>
          <w:lang w:val="en-US" w:eastAsia="zh-CN"/>
        </w:rPr>
        <w:t xml:space="preserve">   </w:t>
      </w:r>
      <w:r>
        <w:rPr>
          <w:rFonts w:hint="eastAsia" w:ascii="方正小标宋_GBK" w:eastAsia="方正小标宋_GBK"/>
          <w:bCs/>
          <w:color w:val="auto"/>
          <w:sz w:val="32"/>
          <w:szCs w:val="32"/>
          <w:highlight w:val="none"/>
        </w:rPr>
        <w:t>日以来承担</w:t>
      </w:r>
    </w:p>
    <w:p w14:paraId="4A10EBC0">
      <w:pPr>
        <w:pStyle w:val="335"/>
        <w:jc w:val="center"/>
        <w:rPr>
          <w:rFonts w:hint="eastAsia" w:ascii="方正小标宋_GBK" w:eastAsia="方正小标宋_GBK"/>
          <w:bCs/>
          <w:color w:val="auto"/>
          <w:sz w:val="32"/>
          <w:szCs w:val="32"/>
          <w:highlight w:val="none"/>
        </w:rPr>
      </w:pPr>
      <w:r>
        <w:rPr>
          <w:rFonts w:hint="eastAsia" w:ascii="方正小标宋_GBK" w:eastAsia="方正小标宋_GBK"/>
          <w:bCs/>
          <w:color w:val="auto"/>
          <w:sz w:val="32"/>
          <w:szCs w:val="32"/>
          <w:highlight w:val="none"/>
        </w:rPr>
        <w:t>类似项目业绩一览表</w:t>
      </w:r>
    </w:p>
    <w:bookmarkEnd w:id="173"/>
    <w:tbl>
      <w:tblPr>
        <w:tblStyle w:val="53"/>
        <w:tblW w:w="8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9"/>
        <w:gridCol w:w="3827"/>
        <w:gridCol w:w="2433"/>
        <w:gridCol w:w="1395"/>
      </w:tblGrid>
      <w:tr w14:paraId="2BDA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3" w:hRule="atLeast"/>
          <w:jc w:val="center"/>
        </w:trPr>
        <w:tc>
          <w:tcPr>
            <w:tcW w:w="1229" w:type="dxa"/>
            <w:noWrap w:val="0"/>
            <w:vAlign w:val="top"/>
          </w:tcPr>
          <w:p w14:paraId="4634CC08">
            <w:pPr>
              <w:pStyle w:val="336"/>
              <w:spacing w:line="56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827" w:type="dxa"/>
            <w:noWrap w:val="0"/>
            <w:vAlign w:val="center"/>
          </w:tcPr>
          <w:p w14:paraId="5AB0D932">
            <w:pPr>
              <w:pStyle w:val="336"/>
              <w:spacing w:line="56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项目名称</w:t>
            </w:r>
          </w:p>
        </w:tc>
        <w:tc>
          <w:tcPr>
            <w:tcW w:w="2433" w:type="dxa"/>
            <w:noWrap w:val="0"/>
            <w:vAlign w:val="center"/>
          </w:tcPr>
          <w:p w14:paraId="35BD5820">
            <w:pPr>
              <w:pStyle w:val="336"/>
              <w:spacing w:line="56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采购单位</w:t>
            </w:r>
          </w:p>
        </w:tc>
        <w:tc>
          <w:tcPr>
            <w:tcW w:w="1395" w:type="dxa"/>
            <w:noWrap w:val="0"/>
            <w:vAlign w:val="center"/>
          </w:tcPr>
          <w:p w14:paraId="19F21AEE">
            <w:pPr>
              <w:pStyle w:val="336"/>
              <w:spacing w:line="56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服务主要内容</w:t>
            </w:r>
          </w:p>
        </w:tc>
      </w:tr>
      <w:tr w14:paraId="65AB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noWrap w:val="0"/>
            <w:vAlign w:val="top"/>
          </w:tcPr>
          <w:p w14:paraId="4B57B76A">
            <w:pPr>
              <w:pStyle w:val="336"/>
              <w:spacing w:line="560" w:lineRule="exact"/>
              <w:jc w:val="center"/>
              <w:rPr>
                <w:rFonts w:ascii="仿宋_GB2312" w:eastAsia="仿宋_GB2312"/>
                <w:color w:val="auto"/>
                <w:sz w:val="28"/>
                <w:highlight w:val="none"/>
              </w:rPr>
            </w:pPr>
          </w:p>
        </w:tc>
        <w:tc>
          <w:tcPr>
            <w:tcW w:w="3827" w:type="dxa"/>
            <w:noWrap w:val="0"/>
            <w:vAlign w:val="center"/>
          </w:tcPr>
          <w:p w14:paraId="5C1944A6">
            <w:pPr>
              <w:pStyle w:val="336"/>
              <w:spacing w:line="560" w:lineRule="exact"/>
              <w:jc w:val="center"/>
              <w:rPr>
                <w:rFonts w:ascii="仿宋_GB2312" w:eastAsia="仿宋_GB2312"/>
                <w:color w:val="auto"/>
                <w:sz w:val="28"/>
                <w:highlight w:val="none"/>
              </w:rPr>
            </w:pPr>
          </w:p>
        </w:tc>
        <w:tc>
          <w:tcPr>
            <w:tcW w:w="2433" w:type="dxa"/>
            <w:noWrap w:val="0"/>
            <w:vAlign w:val="center"/>
          </w:tcPr>
          <w:p w14:paraId="4C9978DD">
            <w:pPr>
              <w:pStyle w:val="336"/>
              <w:spacing w:line="560" w:lineRule="exact"/>
              <w:jc w:val="center"/>
              <w:rPr>
                <w:rFonts w:ascii="仿宋_GB2312" w:eastAsia="仿宋_GB2312"/>
                <w:color w:val="auto"/>
                <w:sz w:val="28"/>
                <w:highlight w:val="none"/>
              </w:rPr>
            </w:pPr>
          </w:p>
        </w:tc>
        <w:tc>
          <w:tcPr>
            <w:tcW w:w="1395" w:type="dxa"/>
            <w:noWrap w:val="0"/>
            <w:vAlign w:val="center"/>
          </w:tcPr>
          <w:p w14:paraId="6CC8FA04">
            <w:pPr>
              <w:pStyle w:val="336"/>
              <w:spacing w:line="560" w:lineRule="exact"/>
              <w:jc w:val="center"/>
              <w:rPr>
                <w:rFonts w:ascii="仿宋_GB2312" w:eastAsia="仿宋_GB2312"/>
                <w:color w:val="auto"/>
                <w:sz w:val="28"/>
                <w:highlight w:val="none"/>
              </w:rPr>
            </w:pPr>
          </w:p>
        </w:tc>
      </w:tr>
      <w:tr w14:paraId="4CE4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noWrap w:val="0"/>
            <w:vAlign w:val="top"/>
          </w:tcPr>
          <w:p w14:paraId="40880C4C">
            <w:pPr>
              <w:pStyle w:val="336"/>
              <w:spacing w:line="560" w:lineRule="exact"/>
              <w:jc w:val="center"/>
              <w:rPr>
                <w:rFonts w:ascii="仿宋_GB2312" w:eastAsia="仿宋_GB2312"/>
                <w:color w:val="auto"/>
                <w:sz w:val="28"/>
                <w:highlight w:val="none"/>
              </w:rPr>
            </w:pPr>
          </w:p>
        </w:tc>
        <w:tc>
          <w:tcPr>
            <w:tcW w:w="3827" w:type="dxa"/>
            <w:noWrap w:val="0"/>
            <w:vAlign w:val="center"/>
          </w:tcPr>
          <w:p w14:paraId="704B5A69">
            <w:pPr>
              <w:pStyle w:val="336"/>
              <w:spacing w:line="560" w:lineRule="exact"/>
              <w:jc w:val="center"/>
              <w:rPr>
                <w:rFonts w:ascii="仿宋_GB2312" w:eastAsia="仿宋_GB2312"/>
                <w:color w:val="auto"/>
                <w:sz w:val="28"/>
                <w:highlight w:val="none"/>
              </w:rPr>
            </w:pPr>
          </w:p>
        </w:tc>
        <w:tc>
          <w:tcPr>
            <w:tcW w:w="2433" w:type="dxa"/>
            <w:noWrap w:val="0"/>
            <w:vAlign w:val="center"/>
          </w:tcPr>
          <w:p w14:paraId="61069662">
            <w:pPr>
              <w:pStyle w:val="336"/>
              <w:spacing w:line="560" w:lineRule="exact"/>
              <w:jc w:val="center"/>
              <w:rPr>
                <w:rFonts w:ascii="仿宋_GB2312" w:eastAsia="仿宋_GB2312"/>
                <w:color w:val="auto"/>
                <w:sz w:val="28"/>
                <w:highlight w:val="none"/>
              </w:rPr>
            </w:pPr>
          </w:p>
        </w:tc>
        <w:tc>
          <w:tcPr>
            <w:tcW w:w="1395" w:type="dxa"/>
            <w:noWrap w:val="0"/>
            <w:vAlign w:val="center"/>
          </w:tcPr>
          <w:p w14:paraId="307C0CA9">
            <w:pPr>
              <w:pStyle w:val="336"/>
              <w:spacing w:line="560" w:lineRule="exact"/>
              <w:jc w:val="center"/>
              <w:rPr>
                <w:rFonts w:ascii="仿宋_GB2312" w:eastAsia="仿宋_GB2312"/>
                <w:color w:val="auto"/>
                <w:sz w:val="28"/>
                <w:highlight w:val="none"/>
              </w:rPr>
            </w:pPr>
          </w:p>
        </w:tc>
      </w:tr>
      <w:tr w14:paraId="6739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0" w:hRule="atLeast"/>
          <w:jc w:val="center"/>
        </w:trPr>
        <w:tc>
          <w:tcPr>
            <w:tcW w:w="1229" w:type="dxa"/>
            <w:noWrap w:val="0"/>
            <w:vAlign w:val="top"/>
          </w:tcPr>
          <w:p w14:paraId="753138C5">
            <w:pPr>
              <w:pStyle w:val="336"/>
              <w:spacing w:line="560" w:lineRule="exact"/>
              <w:jc w:val="center"/>
              <w:rPr>
                <w:rFonts w:ascii="仿宋_GB2312" w:eastAsia="仿宋_GB2312"/>
                <w:color w:val="auto"/>
                <w:sz w:val="28"/>
                <w:highlight w:val="none"/>
              </w:rPr>
            </w:pPr>
          </w:p>
        </w:tc>
        <w:tc>
          <w:tcPr>
            <w:tcW w:w="3827" w:type="dxa"/>
            <w:noWrap w:val="0"/>
            <w:vAlign w:val="center"/>
          </w:tcPr>
          <w:p w14:paraId="3164E428">
            <w:pPr>
              <w:pStyle w:val="336"/>
              <w:spacing w:line="560" w:lineRule="exact"/>
              <w:jc w:val="center"/>
              <w:rPr>
                <w:rFonts w:ascii="仿宋_GB2312" w:eastAsia="仿宋_GB2312"/>
                <w:color w:val="auto"/>
                <w:sz w:val="28"/>
                <w:highlight w:val="none"/>
              </w:rPr>
            </w:pPr>
          </w:p>
        </w:tc>
        <w:tc>
          <w:tcPr>
            <w:tcW w:w="2433" w:type="dxa"/>
            <w:noWrap w:val="0"/>
            <w:vAlign w:val="center"/>
          </w:tcPr>
          <w:p w14:paraId="3C993B78">
            <w:pPr>
              <w:pStyle w:val="336"/>
              <w:spacing w:line="560" w:lineRule="exact"/>
              <w:jc w:val="center"/>
              <w:rPr>
                <w:rFonts w:ascii="仿宋_GB2312" w:eastAsia="仿宋_GB2312"/>
                <w:color w:val="auto"/>
                <w:sz w:val="28"/>
                <w:highlight w:val="none"/>
              </w:rPr>
            </w:pPr>
          </w:p>
        </w:tc>
        <w:tc>
          <w:tcPr>
            <w:tcW w:w="1395" w:type="dxa"/>
            <w:noWrap w:val="0"/>
            <w:vAlign w:val="center"/>
          </w:tcPr>
          <w:p w14:paraId="00478BDB">
            <w:pPr>
              <w:pStyle w:val="336"/>
              <w:spacing w:line="560" w:lineRule="exact"/>
              <w:jc w:val="center"/>
              <w:rPr>
                <w:rFonts w:ascii="仿宋_GB2312" w:eastAsia="仿宋_GB2312"/>
                <w:color w:val="auto"/>
                <w:sz w:val="28"/>
                <w:highlight w:val="none"/>
              </w:rPr>
            </w:pPr>
          </w:p>
        </w:tc>
      </w:tr>
      <w:tr w14:paraId="7F09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25" w:hRule="atLeast"/>
          <w:jc w:val="center"/>
        </w:trPr>
        <w:tc>
          <w:tcPr>
            <w:tcW w:w="1229" w:type="dxa"/>
            <w:noWrap w:val="0"/>
            <w:vAlign w:val="top"/>
          </w:tcPr>
          <w:p w14:paraId="3F92F801">
            <w:pPr>
              <w:pStyle w:val="336"/>
              <w:spacing w:line="560" w:lineRule="exact"/>
              <w:jc w:val="center"/>
              <w:rPr>
                <w:rFonts w:ascii="仿宋_GB2312" w:eastAsia="仿宋_GB2312"/>
                <w:color w:val="auto"/>
                <w:sz w:val="28"/>
                <w:highlight w:val="none"/>
              </w:rPr>
            </w:pPr>
          </w:p>
        </w:tc>
        <w:tc>
          <w:tcPr>
            <w:tcW w:w="3827" w:type="dxa"/>
            <w:noWrap w:val="0"/>
            <w:vAlign w:val="center"/>
          </w:tcPr>
          <w:p w14:paraId="60109AE9">
            <w:pPr>
              <w:pStyle w:val="336"/>
              <w:spacing w:line="560" w:lineRule="exact"/>
              <w:jc w:val="center"/>
              <w:rPr>
                <w:rFonts w:ascii="仿宋_GB2312" w:eastAsia="仿宋_GB2312"/>
                <w:color w:val="auto"/>
                <w:sz w:val="28"/>
                <w:highlight w:val="none"/>
              </w:rPr>
            </w:pPr>
          </w:p>
        </w:tc>
        <w:tc>
          <w:tcPr>
            <w:tcW w:w="2433" w:type="dxa"/>
            <w:noWrap w:val="0"/>
            <w:vAlign w:val="center"/>
          </w:tcPr>
          <w:p w14:paraId="123FA79F">
            <w:pPr>
              <w:pStyle w:val="336"/>
              <w:spacing w:line="560" w:lineRule="exact"/>
              <w:jc w:val="center"/>
              <w:rPr>
                <w:rFonts w:ascii="仿宋_GB2312" w:eastAsia="仿宋_GB2312"/>
                <w:color w:val="auto"/>
                <w:sz w:val="28"/>
                <w:highlight w:val="none"/>
              </w:rPr>
            </w:pPr>
          </w:p>
        </w:tc>
        <w:tc>
          <w:tcPr>
            <w:tcW w:w="1395" w:type="dxa"/>
            <w:noWrap w:val="0"/>
            <w:vAlign w:val="center"/>
          </w:tcPr>
          <w:p w14:paraId="3294C6AF">
            <w:pPr>
              <w:pStyle w:val="336"/>
              <w:spacing w:line="560" w:lineRule="exact"/>
              <w:jc w:val="center"/>
              <w:rPr>
                <w:rFonts w:ascii="仿宋_GB2312" w:eastAsia="仿宋_GB2312"/>
                <w:color w:val="auto"/>
                <w:sz w:val="28"/>
                <w:highlight w:val="none"/>
              </w:rPr>
            </w:pPr>
          </w:p>
        </w:tc>
      </w:tr>
    </w:tbl>
    <w:p w14:paraId="34F837FE">
      <w:pPr>
        <w:pStyle w:val="335"/>
        <w:rPr>
          <w:rFonts w:ascii="宋体" w:hAnsi="宋体"/>
          <w:bCs/>
          <w:color w:val="auto"/>
          <w:highlight w:val="none"/>
        </w:rPr>
      </w:pPr>
      <w:r>
        <w:rPr>
          <w:rFonts w:hint="eastAsia" w:ascii="宋体" w:hAnsi="宋体"/>
          <w:bCs/>
          <w:color w:val="auto"/>
          <w:sz w:val="24"/>
          <w:highlight w:val="none"/>
        </w:rPr>
        <w:t>注：请填写此表，并按要求上传业绩资料电子件。</w:t>
      </w:r>
    </w:p>
    <w:p w14:paraId="295CA0B3">
      <w:pPr>
        <w:spacing w:line="480" w:lineRule="exact"/>
        <w:outlineLvl w:val="1"/>
        <w:rPr>
          <w:rFonts w:hint="eastAsia" w:ascii="宋体"/>
          <w:color w:val="auto"/>
          <w:szCs w:val="32"/>
          <w:highlight w:val="none"/>
        </w:rPr>
      </w:pPr>
      <w:r>
        <w:rPr>
          <w:rFonts w:ascii="宋体" w:hAnsi="宋体"/>
          <w:bCs/>
          <w:color w:val="auto"/>
          <w:highlight w:val="none"/>
        </w:rPr>
        <w:br w:type="page" w:clear="all"/>
      </w:r>
      <w:bookmarkStart w:id="174" w:name="_Toc26048"/>
      <w:bookmarkStart w:id="175" w:name="_Toc9275"/>
      <w:r>
        <w:rPr>
          <w:rFonts w:hint="eastAsia" w:ascii="宋体" w:hAnsi="黑体" w:eastAsia="黑体" w:cs="黑体"/>
          <w:color w:val="auto"/>
          <w:sz w:val="32"/>
          <w:szCs w:val="32"/>
          <w:highlight w:val="none"/>
        </w:rPr>
        <w:t>十、投标所需其他材料</w:t>
      </w:r>
      <w:bookmarkEnd w:id="174"/>
      <w:bookmarkEnd w:id="175"/>
    </w:p>
    <w:p w14:paraId="4D110F77">
      <w:pPr>
        <w:pStyle w:val="339"/>
        <w:spacing w:line="480" w:lineRule="exact"/>
        <w:ind w:firstLine="420"/>
        <w:rPr>
          <w:color w:val="auto"/>
          <w:sz w:val="24"/>
          <w:szCs w:val="24"/>
          <w:highlight w:val="none"/>
        </w:rPr>
      </w:pPr>
      <w:r>
        <w:rPr>
          <w:rFonts w:hint="eastAsia"/>
          <w:color w:val="auto"/>
          <w:sz w:val="24"/>
          <w:szCs w:val="24"/>
          <w:highlight w:val="none"/>
        </w:rPr>
        <w:t>请在此文档中增加投标所需其他相关内容（包括评分办法、采购需求中涉及的证件证明及其</w:t>
      </w:r>
      <w:r>
        <w:rPr>
          <w:rFonts w:hint="eastAsia"/>
          <w:color w:val="auto"/>
          <w:sz w:val="24"/>
          <w:szCs w:val="24"/>
          <w:highlight w:val="none"/>
          <w:lang w:eastAsia="zh-CN"/>
        </w:rPr>
        <w:t>他</w:t>
      </w:r>
      <w:r>
        <w:rPr>
          <w:rFonts w:hint="eastAsia"/>
          <w:color w:val="auto"/>
          <w:sz w:val="24"/>
          <w:szCs w:val="24"/>
          <w:highlight w:val="none"/>
        </w:rPr>
        <w:t>投标人认为有必要提供的资料），如没有请将此空文档上传。</w:t>
      </w:r>
    </w:p>
    <w:p w14:paraId="5A795A59">
      <w:pPr>
        <w:pStyle w:val="314"/>
        <w:spacing w:line="360" w:lineRule="auto"/>
        <w:ind w:firstLine="480" w:firstLineChars="200"/>
        <w:rPr>
          <w:rFonts w:hint="eastAsia" w:ascii="方正仿宋_GBK" w:hAnsi="方正仿宋_GBK" w:eastAsia="方正仿宋_GBK" w:cs="方正仿宋_GBK"/>
          <w:color w:val="auto"/>
          <w:sz w:val="24"/>
          <w:highlight w:val="none"/>
        </w:rPr>
      </w:pPr>
    </w:p>
    <w:sectPr>
      <w:footerReference r:id="rId7" w:type="default"/>
      <w:type w:val="continuous"/>
      <w:pgSz w:w="11906" w:h="16838"/>
      <w:pgMar w:top="1440" w:right="1304" w:bottom="1440" w:left="1418" w:header="851" w:footer="992"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FC"/>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方正黑体_GBK">
    <w:altName w:val="Arial Unicode MS"/>
    <w:panose1 w:val="03000509000000000000"/>
    <w:charset w:val="86"/>
    <w:family w:val="script"/>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方正小标宋_GBK">
    <w:panose1 w:val="03000509000000000000"/>
    <w:charset w:val="86"/>
    <w:family w:val="script"/>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方正仿宋_GBK">
    <w:altName w:val="Arial Unicode MS"/>
    <w:panose1 w:val="03000509000000000000"/>
    <w:charset w:val="86"/>
    <w:family w:val="script"/>
    <w:pitch w:val="default"/>
    <w:sig w:usb0="00000000" w:usb1="00000000" w:usb2="00000000" w:usb3="00000000" w:csb0="003C0041" w:csb1="A008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4C430">
    <w:pPr>
      <w:pStyle w:val="3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-123190</wp:posOffset>
              </wp:positionV>
              <wp:extent cx="770890" cy="343535"/>
              <wp:effectExtent l="0" t="0" r="0" b="0"/>
              <wp:wrapNone/>
              <wp:docPr id="3" name="文本框 11"/>
              <wp:cNvGraphicFramePr/>
              <a:graphic xmlns:a="http://schemas.openxmlformats.org/drawingml/2006/main">
                <a:graphicData uri="http://schemas.microsoft.com/office/word/2010/wordprocessingShape">
                  <wps:wsp>
                    <wps:cNvSpPr txBox="1"/>
                    <wps:spPr>
                      <a:xfrm>
                        <a:off x="0" y="0"/>
                        <a:ext cx="770890" cy="343535"/>
                      </a:xfrm>
                      <a:prstGeom prst="rect">
                        <a:avLst/>
                      </a:prstGeom>
                      <a:noFill/>
                      <a:ln>
                        <a:noFill/>
                      </a:ln>
                    </wps:spPr>
                    <wps:txbx>
                      <w:txbxContent>
                        <w:p w14:paraId="34130890">
                          <w:pPr>
                            <w:pStyle w:val="34"/>
                            <w:jc w:val="center"/>
                            <w:rPr>
                              <w:rFonts w:ascii="Times New Roman" w:hAnsi="Times New Roman"/>
                              <w:sz w:val="32"/>
                              <w:szCs w:val="32"/>
                            </w:rPr>
                          </w:pP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r>
                            <w:rPr>
                              <w:rFonts w:hint="eastAsia" w:ascii="Times New Roman" w:hAnsi="Times New Roman"/>
                              <w:sz w:val="32"/>
                              <w:szCs w:val="32"/>
                            </w:rPr>
                            <w:t xml:space="preserve"> —</w:t>
                          </w:r>
                        </w:p>
                      </w:txbxContent>
                    </wps:txbx>
                    <wps:bodyPr wrap="square" lIns="0" tIns="0" rIns="0" bIns="0" upright="0"/>
                  </wps:wsp>
                </a:graphicData>
              </a:graphic>
            </wp:anchor>
          </w:drawing>
        </mc:Choice>
        <mc:Fallback>
          <w:pict>
            <v:shape id="文本框 11" o:spid="_x0000_s1026" o:spt="202" type="#_x0000_t202" style="position:absolute;left:0pt;margin-top:-9.7pt;height:27.05pt;width:60.7pt;mso-position-horizontal:center;mso-position-horizontal-relative:margin;z-index:251659264;mso-width-relative:page;mso-height-relative:page;" filled="f" stroked="f" coordsize="21600,21600" o:gfxdata="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BotTW1wAAAAcBAAAPAAAAAAAAAAEAIAAAACIAAABkcnMvZG93bnJl&#10;di54bWxQSwECFAAUAAAACACHTuJAUc962sUBAACAAwAADgAAAAAAAAABACAAAAAmAQAAZHJzL2Uy&#10;b0RvYy54bWxQSwUGAAAAAAYABgBZAQAAXQUAAAAA&#10;">
              <v:fill on="f" focussize="0,0"/>
              <v:stroke on="f"/>
              <v:imagedata o:title=""/>
              <o:lock v:ext="edit" aspectratio="f"/>
              <v:textbox inset="0mm,0mm,0mm,0mm">
                <w:txbxContent>
                  <w:p w14:paraId="34130890">
                    <w:pPr>
                      <w:pStyle w:val="34"/>
                      <w:jc w:val="center"/>
                      <w:rPr>
                        <w:rFonts w:ascii="Times New Roman" w:hAnsi="Times New Roman"/>
                        <w:sz w:val="32"/>
                        <w:szCs w:val="32"/>
                      </w:rPr>
                    </w:pP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r>
                      <w:rPr>
                        <w:rFonts w:hint="eastAsia" w:ascii="Times New Roman" w:hAnsi="Times New Roman"/>
                        <w:sz w:val="32"/>
                        <w:szCs w:val="32"/>
                      </w:rPr>
                      <w:t xml:space="preserve"> —</w:t>
                    </w:r>
                  </w:p>
                </w:txbxContent>
              </v:textbox>
            </v:shape>
          </w:pict>
        </mc:Fallback>
      </mc:AlternateContent>
    </w:r>
  </w:p>
  <w:p w14:paraId="27001F4F">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3ACF7">
    <w:pPr>
      <w:pStyle w:val="3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0CBF9">
                          <w:pPr>
                            <w:pStyle w:val="3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yjCuck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nKMK5yQEAAJoDAAAOAAAAAAAAAAEAIAAAAB4BAABkcnMvZTJvRG9j&#10;LnhtbFBLBQYAAAAABgAGAFkBAABZBQAAAAA=&#10;">
              <v:fill on="f" focussize="0,0"/>
              <v:stroke on="f"/>
              <v:imagedata o:title=""/>
              <o:lock v:ext="edit" aspectratio="f"/>
              <v:textbox inset="0mm,0mm,0mm,0mm" style="mso-fit-shape-to-text:t;">
                <w:txbxContent>
                  <w:p w14:paraId="29E0CBF9">
                    <w:pPr>
                      <w:pStyle w:val="3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C69EB">
    <w:pPr>
      <w:widowControl/>
      <w:kinsoku w:val="0"/>
      <w:autoSpaceDE w:val="0"/>
      <w:autoSpaceDN w:val="0"/>
      <w:adjustRightInd w:val="0"/>
      <w:snapToGrid w:val="0"/>
      <w:spacing w:line="179" w:lineRule="auto"/>
      <w:ind w:left="4616"/>
      <w:jc w:val="left"/>
      <w:textAlignment w:val="baseline"/>
      <w:rPr>
        <w:rFonts w:ascii="Times New Roman" w:hAnsi="Times New Roman" w:eastAsia="Times New Roman" w:cs="Times New Roman"/>
        <w:snapToGrid w:val="0"/>
        <w:color w:val="000000"/>
        <w:kern w:val="0"/>
        <w:sz w:val="24"/>
        <w:szCs w:val="24"/>
        <w:lang w:eastAsia="en-US"/>
      </w:rPr>
    </w:pPr>
    <w:r>
      <w:rPr>
        <w:rFonts w:ascii="Times New Roman" w:hAnsi="Times New Roman" w:eastAsia="Times New Roman" w:cs="Times New Roman"/>
        <w:snapToGrid w:val="0"/>
        <w:color w:val="000000"/>
        <w:spacing w:val="-15"/>
        <w:kern w:val="0"/>
        <w:sz w:val="24"/>
        <w:szCs w:val="24"/>
        <w:lang w:eastAsia="en-US"/>
      </w:rPr>
      <w:t>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3EF46">
    <w:pPr>
      <w:pStyle w:val="34"/>
      <w:jc w:val="center"/>
    </w:pPr>
    <w:r>
      <mc:AlternateContent>
        <mc:Choice Requires="wps">
          <w:drawing>
            <wp:anchor distT="0" distB="0" distL="114300" distR="114300" simplePos="0" relativeHeight="251661312" behindDoc="0" locked="0" layoutInCell="1" allowOverlap="1">
              <wp:simplePos x="0" y="0"/>
              <wp:positionH relativeFrom="margin">
                <wp:posOffset>2847975</wp:posOffset>
              </wp:positionH>
              <wp:positionV relativeFrom="paragraph">
                <wp:posOffset>-13970</wp:posOffset>
              </wp:positionV>
              <wp:extent cx="742950" cy="2794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742950" cy="279400"/>
                      </a:xfrm>
                      <a:prstGeom prst="rect">
                        <a:avLst/>
                      </a:prstGeom>
                      <a:noFill/>
                      <a:ln>
                        <a:noFill/>
                      </a:ln>
                    </wps:spPr>
                    <wps:txbx>
                      <w:txbxContent>
                        <w:p w14:paraId="744052D4">
                          <w:pPr>
                            <w:pStyle w:val="34"/>
                            <w:jc w:val="center"/>
                            <w:rPr>
                              <w:rFonts w:ascii="Times New Roman" w:hAnsi="Times New Roman"/>
                              <w:sz w:val="32"/>
                              <w:szCs w:val="32"/>
                            </w:rPr>
                          </w:pPr>
                          <w:r>
                            <w:rPr>
                              <w:rFonts w:ascii="Times New Roman" w:hAnsi="Times New Roman"/>
                              <w:sz w:val="32"/>
                              <w:szCs w:val="32"/>
                            </w:rPr>
                            <w:t>—</w:t>
                          </w: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27</w:t>
                          </w:r>
                          <w:r>
                            <w:rPr>
                              <w:rFonts w:ascii="Times New Roman" w:hAnsi="Times New Roman"/>
                              <w:sz w:val="32"/>
                              <w:szCs w:val="32"/>
                            </w:rPr>
                            <w:fldChar w:fldCharType="end"/>
                          </w:r>
                          <w:r>
                            <w:rPr>
                              <w:rFonts w:hint="eastAsia" w:ascii="Times New Roman" w:hAnsi="Times New Roman"/>
                              <w:sz w:val="32"/>
                              <w:szCs w:val="32"/>
                            </w:rPr>
                            <w:t xml:space="preserve"> </w:t>
                          </w:r>
                          <w:r>
                            <w:rPr>
                              <w:rFonts w:ascii="Times New Roman" w:hAnsi="Times New Roman"/>
                              <w:sz w:val="32"/>
                              <w:szCs w:val="32"/>
                            </w:rPr>
                            <w:t>—</w:t>
                          </w:r>
                        </w:p>
                      </w:txbxContent>
                    </wps:txbx>
                    <wps:bodyPr wrap="square" lIns="0" tIns="0" rIns="0" bIns="0" upright="0"/>
                  </wps:wsp>
                </a:graphicData>
              </a:graphic>
            </wp:anchor>
          </w:drawing>
        </mc:Choice>
        <mc:Fallback>
          <w:pict>
            <v:shape id="文本框 14" o:spid="_x0000_s1026" o:spt="202" type="#_x0000_t202" style="position:absolute;left:0pt;margin-left:224.25pt;margin-top:-1.1pt;height:22pt;width:58.5pt;mso-position-horizontal-relative:margin;z-index:251661312;mso-width-relative:page;mso-height-relative:page;" filled="f" stroked="f" coordsize="21600,21600" o:gfxdata="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ghcjQdgAAAAJAQAADwAAAAAAAAABACAAAAAiAAAAZHJzL2Rvd25y&#10;ZXYueG1sUEsBAhQAFAAAAAgAh07iQJh/p1fFAQAAgAMAAA4AAAAAAAAAAQAgAAAAJwEAAGRycy9l&#10;Mm9Eb2MueG1sUEsFBgAAAAAGAAYAWQEAAF4FAAAAAA==&#10;">
              <v:fill on="f" focussize="0,0"/>
              <v:stroke on="f"/>
              <v:imagedata o:title=""/>
              <o:lock v:ext="edit" aspectratio="f"/>
              <v:textbox inset="0mm,0mm,0mm,0mm">
                <w:txbxContent>
                  <w:p w14:paraId="744052D4">
                    <w:pPr>
                      <w:pStyle w:val="34"/>
                      <w:jc w:val="center"/>
                      <w:rPr>
                        <w:rFonts w:ascii="Times New Roman" w:hAnsi="Times New Roman"/>
                        <w:sz w:val="32"/>
                        <w:szCs w:val="32"/>
                      </w:rPr>
                    </w:pPr>
                    <w:r>
                      <w:rPr>
                        <w:rFonts w:ascii="Times New Roman" w:hAnsi="Times New Roman"/>
                        <w:sz w:val="32"/>
                        <w:szCs w:val="32"/>
                      </w:rPr>
                      <w:t>—</w:t>
                    </w:r>
                    <w:r>
                      <w:rPr>
                        <w:rFonts w:hint="eastAsia" w:ascii="Times New Roman" w:hAnsi="Times New Roman"/>
                        <w:sz w:val="32"/>
                        <w:szCs w:val="32"/>
                      </w:rPr>
                      <w:t xml:space="preserve"> </w:t>
                    </w:r>
                    <w:r>
                      <w:rPr>
                        <w:rFonts w:ascii="Times New Roman" w:hAnsi="Times New Roman"/>
                        <w:sz w:val="32"/>
                        <w:szCs w:val="32"/>
                      </w:rPr>
                      <w:fldChar w:fldCharType="begin"/>
                    </w:r>
                    <w:r>
                      <w:rPr>
                        <w:rFonts w:ascii="Times New Roman" w:hAnsi="Times New Roman"/>
                        <w:sz w:val="32"/>
                        <w:szCs w:val="32"/>
                      </w:rPr>
                      <w:instrText xml:space="preserve"> PAGE  \* MERGEFORMAT </w:instrText>
                    </w:r>
                    <w:r>
                      <w:rPr>
                        <w:rFonts w:ascii="Times New Roman" w:hAnsi="Times New Roman"/>
                        <w:sz w:val="32"/>
                        <w:szCs w:val="32"/>
                      </w:rPr>
                      <w:fldChar w:fldCharType="separate"/>
                    </w:r>
                    <w:r>
                      <w:rPr>
                        <w:rFonts w:ascii="Times New Roman" w:hAnsi="Times New Roman"/>
                        <w:sz w:val="32"/>
                        <w:szCs w:val="32"/>
                      </w:rPr>
                      <w:t>27</w:t>
                    </w:r>
                    <w:r>
                      <w:rPr>
                        <w:rFonts w:ascii="Times New Roman" w:hAnsi="Times New Roman"/>
                        <w:sz w:val="32"/>
                        <w:szCs w:val="32"/>
                      </w:rPr>
                      <w:fldChar w:fldCharType="end"/>
                    </w:r>
                    <w:r>
                      <w:rPr>
                        <w:rFonts w:hint="eastAsia" w:ascii="Times New Roman" w:hAnsi="Times New Roman"/>
                        <w:sz w:val="32"/>
                        <w:szCs w:val="32"/>
                      </w:rPr>
                      <w:t xml:space="preserve"> </w:t>
                    </w:r>
                    <w:r>
                      <w:rPr>
                        <w:rFonts w:ascii="Times New Roman" w:hAnsi="Times New Roman"/>
                        <w:sz w:val="32"/>
                        <w:szCs w:val="32"/>
                      </w:rPr>
                      <w:t>—</w:t>
                    </w:r>
                  </w:p>
                </w:txbxContent>
              </v:textbox>
            </v:shape>
          </w:pict>
        </mc:Fallback>
      </mc:AlternateContent>
    </w:r>
  </w:p>
  <w:p w14:paraId="75C14A3E">
    <w:pPr>
      <w:pStyle w:val="3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D859E">
    <w:pPr>
      <w:pStyle w:val="3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D62ECE"/>
    <w:multiLevelType w:val="multilevel"/>
    <w:tmpl w:val="03D62ECE"/>
    <w:lvl w:ilvl="0" w:tentative="0">
      <w:start w:val="1"/>
      <w:numFmt w:val="decimal"/>
      <w:pStyle w:val="407"/>
      <w:suff w:val="nothing"/>
      <w:lvlText w:val="%1、"/>
      <w:lvlJc w:val="left"/>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25B654F3"/>
    <w:multiLevelType w:val="multilevel"/>
    <w:tmpl w:val="25B654F3"/>
    <w:lvl w:ilvl="0" w:tentative="0">
      <w:start w:val="1"/>
      <w:numFmt w:val="chineseCounting"/>
      <w:pStyle w:val="422"/>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易大林">
    <w15:presenceInfo w15:providerId="WPS Office" w15:userId="278629946"/>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1"/>
    </o:shapelayout>
  </w:hdrShapeDefaults>
  <w:compat>
    <w:balanceSingleByteDoubleByteWidth/>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kZGIwMzljNDU5NjY5NDBiNTE0YzM3Y2FkYWYyZDUifQ=="/>
  </w:docVars>
  <w:rsids>
    <w:rsidRoot w:val="002529FB"/>
    <w:rsid w:val="000844C3"/>
    <w:rsid w:val="000B3B72"/>
    <w:rsid w:val="000F21C3"/>
    <w:rsid w:val="00113A29"/>
    <w:rsid w:val="00142FA2"/>
    <w:rsid w:val="00177565"/>
    <w:rsid w:val="001A0E2C"/>
    <w:rsid w:val="001B6BAF"/>
    <w:rsid w:val="001C7914"/>
    <w:rsid w:val="0022699F"/>
    <w:rsid w:val="00233EFE"/>
    <w:rsid w:val="00252586"/>
    <w:rsid w:val="002529FB"/>
    <w:rsid w:val="002535E9"/>
    <w:rsid w:val="00260B58"/>
    <w:rsid w:val="002C1F48"/>
    <w:rsid w:val="002D7E83"/>
    <w:rsid w:val="00311AA2"/>
    <w:rsid w:val="0032785B"/>
    <w:rsid w:val="00332423"/>
    <w:rsid w:val="00354490"/>
    <w:rsid w:val="0036682F"/>
    <w:rsid w:val="003718F2"/>
    <w:rsid w:val="003E77AF"/>
    <w:rsid w:val="00407024"/>
    <w:rsid w:val="0041262B"/>
    <w:rsid w:val="00422FA4"/>
    <w:rsid w:val="00445AD2"/>
    <w:rsid w:val="00465982"/>
    <w:rsid w:val="004965A2"/>
    <w:rsid w:val="004A783A"/>
    <w:rsid w:val="004C0736"/>
    <w:rsid w:val="005D3040"/>
    <w:rsid w:val="005E42BB"/>
    <w:rsid w:val="005F460C"/>
    <w:rsid w:val="00643831"/>
    <w:rsid w:val="0064722B"/>
    <w:rsid w:val="00672A2D"/>
    <w:rsid w:val="006A1E15"/>
    <w:rsid w:val="006E2F08"/>
    <w:rsid w:val="006F4D6F"/>
    <w:rsid w:val="00742B6B"/>
    <w:rsid w:val="00775D75"/>
    <w:rsid w:val="007768E0"/>
    <w:rsid w:val="007B5EC4"/>
    <w:rsid w:val="007D0FD1"/>
    <w:rsid w:val="0081179C"/>
    <w:rsid w:val="008262E5"/>
    <w:rsid w:val="00871B84"/>
    <w:rsid w:val="00947755"/>
    <w:rsid w:val="00A33CDC"/>
    <w:rsid w:val="00AA1C90"/>
    <w:rsid w:val="00B00BD6"/>
    <w:rsid w:val="00B6389A"/>
    <w:rsid w:val="00B85CA5"/>
    <w:rsid w:val="00BB307F"/>
    <w:rsid w:val="00BD1293"/>
    <w:rsid w:val="00BD580A"/>
    <w:rsid w:val="00BF3CE1"/>
    <w:rsid w:val="00BF4AB7"/>
    <w:rsid w:val="00C10332"/>
    <w:rsid w:val="00C4343C"/>
    <w:rsid w:val="00CC213F"/>
    <w:rsid w:val="00CD5F30"/>
    <w:rsid w:val="00CF4A04"/>
    <w:rsid w:val="00D060EF"/>
    <w:rsid w:val="00D87CDF"/>
    <w:rsid w:val="00DA5C53"/>
    <w:rsid w:val="00DD360F"/>
    <w:rsid w:val="00DE52F8"/>
    <w:rsid w:val="00DE7F4D"/>
    <w:rsid w:val="00E5734F"/>
    <w:rsid w:val="00EA6F85"/>
    <w:rsid w:val="00F24AFF"/>
    <w:rsid w:val="00F447CC"/>
    <w:rsid w:val="00F57D93"/>
    <w:rsid w:val="00F6646A"/>
    <w:rsid w:val="00F802E6"/>
    <w:rsid w:val="00F81F45"/>
    <w:rsid w:val="00FC6AD2"/>
    <w:rsid w:val="00FF1C70"/>
    <w:rsid w:val="018067FB"/>
    <w:rsid w:val="01B34B2E"/>
    <w:rsid w:val="01C012ED"/>
    <w:rsid w:val="025739FF"/>
    <w:rsid w:val="02676EA3"/>
    <w:rsid w:val="02CF3817"/>
    <w:rsid w:val="02F70D3E"/>
    <w:rsid w:val="032E3CF9"/>
    <w:rsid w:val="03426CDE"/>
    <w:rsid w:val="03941436"/>
    <w:rsid w:val="039C3694"/>
    <w:rsid w:val="03AA4003"/>
    <w:rsid w:val="03D35307"/>
    <w:rsid w:val="03F71BA1"/>
    <w:rsid w:val="04E71E7B"/>
    <w:rsid w:val="050E236F"/>
    <w:rsid w:val="07B23486"/>
    <w:rsid w:val="082C148A"/>
    <w:rsid w:val="0977363A"/>
    <w:rsid w:val="0AB15C77"/>
    <w:rsid w:val="0AF3628F"/>
    <w:rsid w:val="0B226B74"/>
    <w:rsid w:val="0B622204"/>
    <w:rsid w:val="0BA84D1F"/>
    <w:rsid w:val="0BBC2B25"/>
    <w:rsid w:val="0BC14113"/>
    <w:rsid w:val="0D0522AA"/>
    <w:rsid w:val="0DA675E9"/>
    <w:rsid w:val="0DAD0977"/>
    <w:rsid w:val="0DE44D94"/>
    <w:rsid w:val="0DEF2B70"/>
    <w:rsid w:val="0DF90A77"/>
    <w:rsid w:val="0E112FE3"/>
    <w:rsid w:val="0EA16002"/>
    <w:rsid w:val="102B0279"/>
    <w:rsid w:val="10AC13BA"/>
    <w:rsid w:val="12DA7EB3"/>
    <w:rsid w:val="12EB6ABD"/>
    <w:rsid w:val="136A10B9"/>
    <w:rsid w:val="13BD743A"/>
    <w:rsid w:val="141B7D86"/>
    <w:rsid w:val="143F2545"/>
    <w:rsid w:val="144C7353"/>
    <w:rsid w:val="14A81E98"/>
    <w:rsid w:val="1528122B"/>
    <w:rsid w:val="15D7606A"/>
    <w:rsid w:val="15FA0341"/>
    <w:rsid w:val="166149F5"/>
    <w:rsid w:val="17E458DD"/>
    <w:rsid w:val="182508EF"/>
    <w:rsid w:val="18F130E6"/>
    <w:rsid w:val="19502AFF"/>
    <w:rsid w:val="196547FC"/>
    <w:rsid w:val="198527A8"/>
    <w:rsid w:val="19876E8D"/>
    <w:rsid w:val="19E32D28"/>
    <w:rsid w:val="19E8066E"/>
    <w:rsid w:val="1AA11864"/>
    <w:rsid w:val="1AA844E4"/>
    <w:rsid w:val="1AAA20FA"/>
    <w:rsid w:val="1ADC0AEE"/>
    <w:rsid w:val="1B1D07A3"/>
    <w:rsid w:val="1B4301F5"/>
    <w:rsid w:val="1B52201F"/>
    <w:rsid w:val="1B955AA0"/>
    <w:rsid w:val="1C1E6EE4"/>
    <w:rsid w:val="1C9E74BD"/>
    <w:rsid w:val="1D303ABD"/>
    <w:rsid w:val="1D9F5E03"/>
    <w:rsid w:val="1DA90A2F"/>
    <w:rsid w:val="1E8446C9"/>
    <w:rsid w:val="1F417171"/>
    <w:rsid w:val="1F721A21"/>
    <w:rsid w:val="1F7A2683"/>
    <w:rsid w:val="1FBB0CF9"/>
    <w:rsid w:val="202F346E"/>
    <w:rsid w:val="203B69C5"/>
    <w:rsid w:val="206155F1"/>
    <w:rsid w:val="20F16975"/>
    <w:rsid w:val="216929AF"/>
    <w:rsid w:val="21E27245"/>
    <w:rsid w:val="22356D36"/>
    <w:rsid w:val="22B92A75"/>
    <w:rsid w:val="22D05511"/>
    <w:rsid w:val="230213B5"/>
    <w:rsid w:val="23237F20"/>
    <w:rsid w:val="235D4796"/>
    <w:rsid w:val="23610C4E"/>
    <w:rsid w:val="24A3267C"/>
    <w:rsid w:val="24F133E8"/>
    <w:rsid w:val="258B55EA"/>
    <w:rsid w:val="26293E99"/>
    <w:rsid w:val="27035C0D"/>
    <w:rsid w:val="27457A1B"/>
    <w:rsid w:val="277541FD"/>
    <w:rsid w:val="27FE4037"/>
    <w:rsid w:val="2879797C"/>
    <w:rsid w:val="291D11A6"/>
    <w:rsid w:val="29253AC9"/>
    <w:rsid w:val="2947571E"/>
    <w:rsid w:val="29932AC2"/>
    <w:rsid w:val="29D57F10"/>
    <w:rsid w:val="2A422B80"/>
    <w:rsid w:val="2B6A7A50"/>
    <w:rsid w:val="2BAF475A"/>
    <w:rsid w:val="2CC33444"/>
    <w:rsid w:val="2EDF2503"/>
    <w:rsid w:val="2EF76B69"/>
    <w:rsid w:val="2EFD67D5"/>
    <w:rsid w:val="2F2B399A"/>
    <w:rsid w:val="2F624D98"/>
    <w:rsid w:val="300375D5"/>
    <w:rsid w:val="30876B0C"/>
    <w:rsid w:val="30B654E5"/>
    <w:rsid w:val="30BD4AC6"/>
    <w:rsid w:val="31927D00"/>
    <w:rsid w:val="323B3EF4"/>
    <w:rsid w:val="327E18C0"/>
    <w:rsid w:val="32DE3B3D"/>
    <w:rsid w:val="335F6FD7"/>
    <w:rsid w:val="33751688"/>
    <w:rsid w:val="33AF4B9A"/>
    <w:rsid w:val="344328DA"/>
    <w:rsid w:val="344828F8"/>
    <w:rsid w:val="344C64C4"/>
    <w:rsid w:val="351930BF"/>
    <w:rsid w:val="353A0493"/>
    <w:rsid w:val="354E3F3E"/>
    <w:rsid w:val="356B4AF0"/>
    <w:rsid w:val="35C366DA"/>
    <w:rsid w:val="36992A33"/>
    <w:rsid w:val="36E903C3"/>
    <w:rsid w:val="37973447"/>
    <w:rsid w:val="37CB7AC8"/>
    <w:rsid w:val="384D672F"/>
    <w:rsid w:val="388008B3"/>
    <w:rsid w:val="38BF587F"/>
    <w:rsid w:val="398C3287"/>
    <w:rsid w:val="3B033499"/>
    <w:rsid w:val="3BCA5396"/>
    <w:rsid w:val="3C3A346E"/>
    <w:rsid w:val="3C5713EF"/>
    <w:rsid w:val="3C9909CB"/>
    <w:rsid w:val="3CB60D47"/>
    <w:rsid w:val="3CED27C1"/>
    <w:rsid w:val="3D167A38"/>
    <w:rsid w:val="3E4B3711"/>
    <w:rsid w:val="3F185CE9"/>
    <w:rsid w:val="3F2B709E"/>
    <w:rsid w:val="3FDE5E38"/>
    <w:rsid w:val="405E2C7C"/>
    <w:rsid w:val="40721429"/>
    <w:rsid w:val="40970E8F"/>
    <w:rsid w:val="41391F47"/>
    <w:rsid w:val="416C5E78"/>
    <w:rsid w:val="419420A5"/>
    <w:rsid w:val="428C42F8"/>
    <w:rsid w:val="429F402B"/>
    <w:rsid w:val="42C45C29"/>
    <w:rsid w:val="431A7B56"/>
    <w:rsid w:val="43C548F8"/>
    <w:rsid w:val="43E04AA9"/>
    <w:rsid w:val="43E56E67"/>
    <w:rsid w:val="440C749E"/>
    <w:rsid w:val="4412168D"/>
    <w:rsid w:val="447239FF"/>
    <w:rsid w:val="44F13FE4"/>
    <w:rsid w:val="450D1EE5"/>
    <w:rsid w:val="45FA141B"/>
    <w:rsid w:val="45FE0BDE"/>
    <w:rsid w:val="462A00B0"/>
    <w:rsid w:val="463D76E9"/>
    <w:rsid w:val="46660A11"/>
    <w:rsid w:val="466C350F"/>
    <w:rsid w:val="46EB5A91"/>
    <w:rsid w:val="479D3A22"/>
    <w:rsid w:val="47F62E5B"/>
    <w:rsid w:val="487D096B"/>
    <w:rsid w:val="4A2A4B22"/>
    <w:rsid w:val="4A6F69D9"/>
    <w:rsid w:val="4A7162AD"/>
    <w:rsid w:val="4A875AD1"/>
    <w:rsid w:val="4AA20B5D"/>
    <w:rsid w:val="4AC8226D"/>
    <w:rsid w:val="4AE44CD1"/>
    <w:rsid w:val="4B1410C5"/>
    <w:rsid w:val="4B366DDE"/>
    <w:rsid w:val="4B517345"/>
    <w:rsid w:val="4B75001F"/>
    <w:rsid w:val="4C3017AD"/>
    <w:rsid w:val="4D057181"/>
    <w:rsid w:val="4D924EB8"/>
    <w:rsid w:val="4DDC6134"/>
    <w:rsid w:val="4E4D7A77"/>
    <w:rsid w:val="4EA40A03"/>
    <w:rsid w:val="4F594229"/>
    <w:rsid w:val="50C3263F"/>
    <w:rsid w:val="512A5408"/>
    <w:rsid w:val="51B24EC2"/>
    <w:rsid w:val="51B7313F"/>
    <w:rsid w:val="5221680B"/>
    <w:rsid w:val="52776BE3"/>
    <w:rsid w:val="53452570"/>
    <w:rsid w:val="53460A90"/>
    <w:rsid w:val="539A4AC7"/>
    <w:rsid w:val="54260108"/>
    <w:rsid w:val="54295E4B"/>
    <w:rsid w:val="55001CD1"/>
    <w:rsid w:val="5537796E"/>
    <w:rsid w:val="55432F3C"/>
    <w:rsid w:val="55774994"/>
    <w:rsid w:val="55F42D0A"/>
    <w:rsid w:val="561B56E8"/>
    <w:rsid w:val="561D553B"/>
    <w:rsid w:val="573828A1"/>
    <w:rsid w:val="57C76E13"/>
    <w:rsid w:val="58CC7BC3"/>
    <w:rsid w:val="5AD14B46"/>
    <w:rsid w:val="5B527A35"/>
    <w:rsid w:val="5C1E3DBB"/>
    <w:rsid w:val="5C8005D2"/>
    <w:rsid w:val="5CDC6150"/>
    <w:rsid w:val="5D3A2E77"/>
    <w:rsid w:val="5D9F097F"/>
    <w:rsid w:val="5F59269F"/>
    <w:rsid w:val="5F74469D"/>
    <w:rsid w:val="5F990328"/>
    <w:rsid w:val="60F35816"/>
    <w:rsid w:val="620B3877"/>
    <w:rsid w:val="62133276"/>
    <w:rsid w:val="63DA28EB"/>
    <w:rsid w:val="64753501"/>
    <w:rsid w:val="648669A1"/>
    <w:rsid w:val="64C85A75"/>
    <w:rsid w:val="64F8164D"/>
    <w:rsid w:val="651B5440"/>
    <w:rsid w:val="654D1183"/>
    <w:rsid w:val="65B31A18"/>
    <w:rsid w:val="660563ED"/>
    <w:rsid w:val="668B59E9"/>
    <w:rsid w:val="67A4735B"/>
    <w:rsid w:val="67C829C4"/>
    <w:rsid w:val="67CE2B39"/>
    <w:rsid w:val="684D1CB0"/>
    <w:rsid w:val="695928D6"/>
    <w:rsid w:val="69E00902"/>
    <w:rsid w:val="6A551F5B"/>
    <w:rsid w:val="6B377DA7"/>
    <w:rsid w:val="6BB671F3"/>
    <w:rsid w:val="6CF51986"/>
    <w:rsid w:val="6E504BCD"/>
    <w:rsid w:val="6EAC5256"/>
    <w:rsid w:val="6EEE729B"/>
    <w:rsid w:val="6FA908A8"/>
    <w:rsid w:val="715E3434"/>
    <w:rsid w:val="71AD2045"/>
    <w:rsid w:val="71F71048"/>
    <w:rsid w:val="71FE5255"/>
    <w:rsid w:val="72B017B9"/>
    <w:rsid w:val="73EA0CFB"/>
    <w:rsid w:val="74081181"/>
    <w:rsid w:val="748C3E82"/>
    <w:rsid w:val="74C0656D"/>
    <w:rsid w:val="74CA3FDF"/>
    <w:rsid w:val="764C1434"/>
    <w:rsid w:val="78487A21"/>
    <w:rsid w:val="78774B27"/>
    <w:rsid w:val="788B0135"/>
    <w:rsid w:val="78984AD4"/>
    <w:rsid w:val="78E26444"/>
    <w:rsid w:val="79EA7B1C"/>
    <w:rsid w:val="79F04B91"/>
    <w:rsid w:val="7AAC0AB8"/>
    <w:rsid w:val="7B145C2F"/>
    <w:rsid w:val="7C120DEF"/>
    <w:rsid w:val="7C887303"/>
    <w:rsid w:val="7C921F30"/>
    <w:rsid w:val="7CC50D2F"/>
    <w:rsid w:val="7CDD6705"/>
    <w:rsid w:val="7D0C3A90"/>
    <w:rsid w:val="7D37450C"/>
    <w:rsid w:val="7EC4082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iPriority="99"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0" w:semiHidden="0" w:name="table of figures"/>
    <w:lsdException w:uiPriority="99" w:name="envelope address"/>
    <w:lsdException w:uiPriority="99" w:name="envelope return"/>
    <w:lsdException w:qFormat="1" w:uiPriority="99" w:semiHidden="0" w:name="footnote reference"/>
    <w:lsdException w:qFormat="1" w:unhideWhenUsed="0" w:uiPriority="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sz w:val="21"/>
      <w:szCs w:val="22"/>
      <w:lang w:val="en-US" w:eastAsia="zh-CN" w:bidi="ar-SA"/>
    </w:rPr>
  </w:style>
  <w:style w:type="paragraph" w:styleId="2">
    <w:name w:val="heading 1"/>
    <w:basedOn w:val="1"/>
    <w:next w:val="1"/>
    <w:link w:val="63"/>
    <w:qFormat/>
    <w:uiPriority w:val="0"/>
    <w:pPr>
      <w:keepNext/>
      <w:keepLines/>
      <w:spacing w:before="480" w:after="200"/>
      <w:outlineLvl w:val="0"/>
    </w:pPr>
    <w:rPr>
      <w:rFonts w:ascii="Arial" w:hAnsi="Arial" w:eastAsia="Arial" w:cs="Arial"/>
      <w:sz w:val="40"/>
      <w:szCs w:val="40"/>
    </w:rPr>
  </w:style>
  <w:style w:type="paragraph" w:styleId="3">
    <w:name w:val="heading 2"/>
    <w:basedOn w:val="1"/>
    <w:next w:val="4"/>
    <w:link w:val="64"/>
    <w:qFormat/>
    <w:uiPriority w:val="0"/>
    <w:pPr>
      <w:keepNext/>
      <w:keepLines/>
      <w:spacing w:before="260" w:after="260" w:line="413" w:lineRule="auto"/>
      <w:outlineLvl w:val="1"/>
    </w:pPr>
    <w:rPr>
      <w:rFonts w:ascii="Arial" w:hAnsi="Arial" w:eastAsia="黑体"/>
      <w:b/>
      <w:sz w:val="32"/>
      <w:szCs w:val="20"/>
    </w:rPr>
  </w:style>
  <w:style w:type="paragraph" w:styleId="5">
    <w:name w:val="heading 3"/>
    <w:basedOn w:val="6"/>
    <w:next w:val="7"/>
    <w:link w:val="66"/>
    <w:qFormat/>
    <w:uiPriority w:val="0"/>
    <w:pPr>
      <w:keepNext/>
      <w:keepLines/>
      <w:spacing w:before="320" w:after="200"/>
      <w:outlineLvl w:val="2"/>
    </w:pPr>
    <w:rPr>
      <w:rFonts w:ascii="Arial" w:hAnsi="Arial" w:eastAsia="Arial" w:cs="Arial"/>
      <w:sz w:val="30"/>
      <w:szCs w:val="30"/>
    </w:rPr>
  </w:style>
  <w:style w:type="paragraph" w:styleId="11">
    <w:name w:val="heading 4"/>
    <w:basedOn w:val="1"/>
    <w:next w:val="1"/>
    <w:link w:val="67"/>
    <w:qFormat/>
    <w:uiPriority w:val="0"/>
    <w:pPr>
      <w:keepNext/>
      <w:jc w:val="center"/>
      <w:outlineLvl w:val="3"/>
    </w:pPr>
    <w:rPr>
      <w:rFonts w:eastAsia="新宋体"/>
      <w:sz w:val="30"/>
      <w:szCs w:val="21"/>
    </w:rPr>
  </w:style>
  <w:style w:type="paragraph" w:styleId="12">
    <w:name w:val="heading 5"/>
    <w:basedOn w:val="1"/>
    <w:next w:val="1"/>
    <w:link w:val="68"/>
    <w:qFormat/>
    <w:uiPriority w:val="0"/>
    <w:pPr>
      <w:keepNext/>
      <w:keepLines/>
      <w:spacing w:before="320" w:after="200"/>
      <w:outlineLvl w:val="4"/>
    </w:pPr>
    <w:rPr>
      <w:rFonts w:ascii="Arial" w:hAnsi="Arial" w:eastAsia="Arial" w:cs="Arial"/>
      <w:b/>
      <w:bCs/>
      <w:sz w:val="24"/>
      <w:szCs w:val="24"/>
    </w:rPr>
  </w:style>
  <w:style w:type="paragraph" w:styleId="13">
    <w:name w:val="heading 6"/>
    <w:basedOn w:val="1"/>
    <w:next w:val="1"/>
    <w:link w:val="69"/>
    <w:qFormat/>
    <w:uiPriority w:val="0"/>
    <w:pPr>
      <w:keepNext/>
      <w:keepLines/>
      <w:spacing w:before="320" w:after="200"/>
      <w:outlineLvl w:val="5"/>
    </w:pPr>
    <w:rPr>
      <w:rFonts w:ascii="Arial" w:hAnsi="Arial" w:eastAsia="Arial" w:cs="Arial"/>
      <w:b/>
      <w:bCs/>
      <w:sz w:val="22"/>
    </w:rPr>
  </w:style>
  <w:style w:type="paragraph" w:styleId="14">
    <w:name w:val="heading 7"/>
    <w:basedOn w:val="1"/>
    <w:next w:val="1"/>
    <w:link w:val="70"/>
    <w:qFormat/>
    <w:uiPriority w:val="0"/>
    <w:pPr>
      <w:keepNext/>
      <w:keepLines/>
      <w:spacing w:before="320" w:after="200"/>
      <w:outlineLvl w:val="6"/>
    </w:pPr>
    <w:rPr>
      <w:rFonts w:ascii="Arial" w:hAnsi="Arial" w:eastAsia="Arial" w:cs="Arial"/>
      <w:b/>
      <w:bCs/>
      <w:i/>
      <w:iCs/>
      <w:sz w:val="22"/>
    </w:rPr>
  </w:style>
  <w:style w:type="paragraph" w:styleId="15">
    <w:name w:val="heading 8"/>
    <w:basedOn w:val="1"/>
    <w:next w:val="1"/>
    <w:link w:val="71"/>
    <w:qFormat/>
    <w:uiPriority w:val="0"/>
    <w:pPr>
      <w:keepNext/>
      <w:keepLines/>
      <w:spacing w:before="320" w:after="200"/>
      <w:outlineLvl w:val="7"/>
    </w:pPr>
    <w:rPr>
      <w:rFonts w:ascii="Arial" w:hAnsi="Arial" w:eastAsia="Arial" w:cs="Arial"/>
      <w:i/>
      <w:iCs/>
      <w:sz w:val="22"/>
    </w:rPr>
  </w:style>
  <w:style w:type="paragraph" w:styleId="16">
    <w:name w:val="heading 9"/>
    <w:basedOn w:val="1"/>
    <w:next w:val="1"/>
    <w:link w:val="72"/>
    <w:qFormat/>
    <w:uiPriority w:val="0"/>
    <w:pPr>
      <w:keepNext/>
      <w:keepLines/>
      <w:spacing w:before="320" w:after="200"/>
      <w:outlineLvl w:val="8"/>
    </w:pPr>
    <w:rPr>
      <w:rFonts w:ascii="Arial" w:hAnsi="Arial" w:eastAsia="Arial" w:cs="Arial"/>
      <w:i/>
      <w:iCs/>
      <w:szCs w:val="21"/>
    </w:rPr>
  </w:style>
  <w:style w:type="character" w:default="1" w:styleId="55">
    <w:name w:val="Default Paragraph Font"/>
    <w:unhideWhenUsed/>
    <w:qFormat/>
    <w:uiPriority w:val="1"/>
  </w:style>
  <w:style w:type="table" w:default="1" w:styleId="53">
    <w:name w:val="Normal Table"/>
    <w:unhideWhenUsed/>
    <w:qFormat/>
    <w:uiPriority w:val="99"/>
    <w:tblPr>
      <w:tblCellMar>
        <w:top w:w="0" w:type="dxa"/>
        <w:left w:w="108" w:type="dxa"/>
        <w:bottom w:w="0" w:type="dxa"/>
        <w:right w:w="108" w:type="dxa"/>
      </w:tblCellMar>
    </w:tblPr>
  </w:style>
  <w:style w:type="paragraph" w:styleId="4">
    <w:name w:val="Normal Indent"/>
    <w:basedOn w:val="1"/>
    <w:link w:val="65"/>
    <w:qFormat/>
    <w:uiPriority w:val="0"/>
    <w:pPr>
      <w:ind w:firstLine="420"/>
    </w:pPr>
    <w:rPr>
      <w:rFonts w:ascii="宋体"/>
      <w:color w:val="000000"/>
      <w:sz w:val="24"/>
      <w:szCs w:val="20"/>
    </w:rPr>
  </w:style>
  <w:style w:type="paragraph" w:customStyle="1" w:styleId="6">
    <w:name w:val="Normal1"/>
    <w:next w:val="5"/>
    <w:qFormat/>
    <w:uiPriority w:val="0"/>
    <w:pPr>
      <w:widowControl w:val="0"/>
      <w:jc w:val="both"/>
    </w:pPr>
    <w:rPr>
      <w:rFonts w:ascii="Calibri" w:hAnsi="Calibri" w:eastAsia="宋体" w:cs="Times New Roman"/>
      <w:sz w:val="21"/>
      <w:szCs w:val="22"/>
      <w:lang w:val="en-US" w:eastAsia="zh-CN" w:bidi="ar-SA"/>
    </w:rPr>
  </w:style>
  <w:style w:type="paragraph" w:customStyle="1" w:styleId="7">
    <w:name w:val="Normal_19"/>
    <w:next w:val="8"/>
    <w:qFormat/>
    <w:uiPriority w:val="0"/>
    <w:rPr>
      <w:rFonts w:ascii="黑体" w:hAnsi="黑体" w:eastAsia="黑体" w:cs="黑体"/>
      <w:b/>
      <w:sz w:val="32"/>
      <w:szCs w:val="24"/>
      <w:lang w:val="en-US" w:eastAsia="zh-CN" w:bidi="ar-SA"/>
    </w:rPr>
  </w:style>
  <w:style w:type="paragraph" w:customStyle="1" w:styleId="8">
    <w:name w:val="Normal"/>
    <w:next w:val="9"/>
    <w:qFormat/>
    <w:uiPriority w:val="0"/>
    <w:pPr>
      <w:widowControl w:val="0"/>
      <w:jc w:val="both"/>
    </w:pPr>
    <w:rPr>
      <w:rFonts w:ascii="Times New Roman" w:hAnsi="Times New Roman" w:eastAsia="宋体" w:cs="Times New Roman"/>
      <w:szCs w:val="21"/>
      <w:lang w:val="en-US" w:eastAsia="zh-CN" w:bidi="ar-SA"/>
    </w:rPr>
  </w:style>
  <w:style w:type="paragraph" w:customStyle="1" w:styleId="9">
    <w:name w:val="Body Text First Indent1"/>
    <w:basedOn w:val="10"/>
    <w:unhideWhenUsed/>
    <w:qFormat/>
    <w:uiPriority w:val="99"/>
    <w:pPr>
      <w:ind w:firstLine="420" w:firstLineChars="100"/>
    </w:pPr>
  </w:style>
  <w:style w:type="paragraph" w:customStyle="1" w:styleId="10">
    <w:name w:val="Body Text1"/>
    <w:basedOn w:val="8"/>
    <w:unhideWhenUsed/>
    <w:qFormat/>
    <w:uiPriority w:val="99"/>
    <w:pPr>
      <w:spacing w:after="120"/>
    </w:pPr>
  </w:style>
  <w:style w:type="paragraph" w:styleId="17">
    <w:name w:val="List 3"/>
    <w:basedOn w:val="1"/>
    <w:qFormat/>
    <w:uiPriority w:val="0"/>
    <w:pPr>
      <w:ind w:left="100" w:hanging="200"/>
    </w:pPr>
    <w:rPr>
      <w:rFonts w:ascii="Times New Roman" w:hAnsi="Times New Roman"/>
      <w:szCs w:val="21"/>
    </w:rPr>
  </w:style>
  <w:style w:type="paragraph" w:styleId="18">
    <w:name w:val="toc 7"/>
    <w:basedOn w:val="1"/>
    <w:next w:val="1"/>
    <w:unhideWhenUsed/>
    <w:qFormat/>
    <w:uiPriority w:val="0"/>
    <w:pPr>
      <w:spacing w:after="57"/>
      <w:ind w:left="1701"/>
    </w:pPr>
  </w:style>
  <w:style w:type="paragraph" w:styleId="19">
    <w:name w:val="caption"/>
    <w:basedOn w:val="1"/>
    <w:next w:val="1"/>
    <w:qFormat/>
    <w:uiPriority w:val="35"/>
    <w:pPr>
      <w:spacing w:line="276" w:lineRule="auto"/>
    </w:pPr>
    <w:rPr>
      <w:b/>
      <w:bCs/>
      <w:color w:val="5B9BD5"/>
      <w:sz w:val="18"/>
      <w:szCs w:val="18"/>
    </w:rPr>
  </w:style>
  <w:style w:type="paragraph" w:styleId="20">
    <w:name w:val="Document Map"/>
    <w:basedOn w:val="1"/>
    <w:link w:val="73"/>
    <w:semiHidden/>
    <w:qFormat/>
    <w:uiPriority w:val="0"/>
    <w:pPr>
      <w:shd w:val="clear" w:color="auto" w:fill="000080"/>
    </w:pPr>
    <w:rPr>
      <w:rFonts w:ascii="Times New Roman" w:hAnsi="Times New Roman"/>
      <w:szCs w:val="21"/>
    </w:rPr>
  </w:style>
  <w:style w:type="paragraph" w:styleId="21">
    <w:name w:val="annotation text"/>
    <w:basedOn w:val="1"/>
    <w:link w:val="74"/>
    <w:semiHidden/>
    <w:qFormat/>
    <w:uiPriority w:val="0"/>
    <w:pPr>
      <w:jc w:val="left"/>
    </w:pPr>
    <w:rPr>
      <w:rFonts w:ascii="Times New Roman" w:hAnsi="Times New Roman"/>
      <w:szCs w:val="21"/>
    </w:rPr>
  </w:style>
  <w:style w:type="paragraph" w:styleId="22">
    <w:name w:val="Body Text 3"/>
    <w:basedOn w:val="1"/>
    <w:link w:val="75"/>
    <w:qFormat/>
    <w:uiPriority w:val="0"/>
    <w:rPr>
      <w:rFonts w:ascii="仿宋_GB2312" w:hAnsi="Arial" w:eastAsia="仿宋_GB2312"/>
      <w:sz w:val="32"/>
      <w:szCs w:val="32"/>
    </w:rPr>
  </w:style>
  <w:style w:type="paragraph" w:styleId="23">
    <w:name w:val="Body Text"/>
    <w:basedOn w:val="1"/>
    <w:semiHidden/>
    <w:qFormat/>
    <w:uiPriority w:val="0"/>
    <w:rPr>
      <w:rFonts w:ascii="仿宋" w:hAnsi="仿宋" w:eastAsia="仿宋" w:cs="仿宋"/>
      <w:sz w:val="32"/>
      <w:szCs w:val="32"/>
      <w:lang w:val="en-US" w:eastAsia="en-US" w:bidi="ar-SA"/>
    </w:rPr>
  </w:style>
  <w:style w:type="paragraph" w:styleId="24">
    <w:name w:val="Body Text Indent"/>
    <w:basedOn w:val="1"/>
    <w:link w:val="76"/>
    <w:qFormat/>
    <w:uiPriority w:val="0"/>
    <w:pPr>
      <w:ind w:firstLine="225"/>
    </w:pPr>
    <w:rPr>
      <w:rFonts w:ascii="仿宋_GB2312" w:eastAsia="仿宋_GB2312"/>
      <w:sz w:val="32"/>
    </w:rPr>
  </w:style>
  <w:style w:type="paragraph" w:styleId="25">
    <w:name w:val="List 2"/>
    <w:basedOn w:val="1"/>
    <w:qFormat/>
    <w:uiPriority w:val="0"/>
    <w:pPr>
      <w:ind w:left="100" w:hanging="200"/>
    </w:pPr>
    <w:rPr>
      <w:rFonts w:ascii="Times New Roman" w:hAnsi="Times New Roman"/>
      <w:szCs w:val="21"/>
    </w:rPr>
  </w:style>
  <w:style w:type="paragraph" w:styleId="26">
    <w:name w:val="toc 5"/>
    <w:basedOn w:val="1"/>
    <w:next w:val="1"/>
    <w:unhideWhenUsed/>
    <w:qFormat/>
    <w:uiPriority w:val="0"/>
    <w:pPr>
      <w:spacing w:after="57"/>
      <w:ind w:left="1134"/>
    </w:pPr>
  </w:style>
  <w:style w:type="paragraph" w:styleId="27">
    <w:name w:val="toc 3"/>
    <w:basedOn w:val="1"/>
    <w:next w:val="1"/>
    <w:unhideWhenUsed/>
    <w:qFormat/>
    <w:uiPriority w:val="0"/>
    <w:pPr>
      <w:spacing w:after="57"/>
      <w:ind w:left="567"/>
    </w:pPr>
  </w:style>
  <w:style w:type="paragraph" w:styleId="28">
    <w:name w:val="Plain Text"/>
    <w:basedOn w:val="1"/>
    <w:link w:val="77"/>
    <w:qFormat/>
    <w:uiPriority w:val="0"/>
    <w:rPr>
      <w:rFonts w:ascii="宋体" w:hAnsi="Courier New" w:cs="Courier New"/>
      <w:szCs w:val="21"/>
    </w:rPr>
  </w:style>
  <w:style w:type="paragraph" w:styleId="29">
    <w:name w:val="toc 8"/>
    <w:basedOn w:val="1"/>
    <w:next w:val="1"/>
    <w:unhideWhenUsed/>
    <w:qFormat/>
    <w:uiPriority w:val="0"/>
    <w:pPr>
      <w:spacing w:after="57"/>
      <w:ind w:left="1984"/>
    </w:pPr>
  </w:style>
  <w:style w:type="paragraph" w:styleId="30">
    <w:name w:val="Date"/>
    <w:basedOn w:val="1"/>
    <w:next w:val="1"/>
    <w:link w:val="78"/>
    <w:qFormat/>
    <w:uiPriority w:val="0"/>
    <w:rPr>
      <w:rFonts w:ascii="Times New Roman" w:hAnsi="Times New Roman"/>
      <w:sz w:val="24"/>
      <w:szCs w:val="24"/>
    </w:rPr>
  </w:style>
  <w:style w:type="paragraph" w:styleId="31">
    <w:name w:val="Body Text Indent 2"/>
    <w:basedOn w:val="1"/>
    <w:link w:val="79"/>
    <w:qFormat/>
    <w:uiPriority w:val="0"/>
    <w:pPr>
      <w:ind w:left="630" w:firstLine="645"/>
    </w:pPr>
    <w:rPr>
      <w:rFonts w:ascii="Arial" w:hAnsi="Arial" w:eastAsia="仿宋_GB2312" w:cs="Arial"/>
      <w:sz w:val="32"/>
      <w:szCs w:val="32"/>
    </w:rPr>
  </w:style>
  <w:style w:type="paragraph" w:styleId="32">
    <w:name w:val="endnote text"/>
    <w:basedOn w:val="1"/>
    <w:link w:val="80"/>
    <w:unhideWhenUsed/>
    <w:qFormat/>
    <w:uiPriority w:val="99"/>
    <w:rPr>
      <w:sz w:val="20"/>
    </w:rPr>
  </w:style>
  <w:style w:type="paragraph" w:styleId="33">
    <w:name w:val="Balloon Text"/>
    <w:basedOn w:val="1"/>
    <w:link w:val="81"/>
    <w:qFormat/>
    <w:uiPriority w:val="0"/>
    <w:rPr>
      <w:rFonts w:ascii="Times New Roman" w:hAnsi="Times New Roman"/>
      <w:sz w:val="18"/>
      <w:szCs w:val="18"/>
    </w:rPr>
  </w:style>
  <w:style w:type="paragraph" w:styleId="34">
    <w:name w:val="footer"/>
    <w:basedOn w:val="1"/>
    <w:link w:val="82"/>
    <w:qFormat/>
    <w:uiPriority w:val="99"/>
    <w:pPr>
      <w:tabs>
        <w:tab w:val="center" w:pos="4153"/>
        <w:tab w:val="right" w:pos="8306"/>
      </w:tabs>
      <w:jc w:val="left"/>
    </w:pPr>
    <w:rPr>
      <w:sz w:val="18"/>
      <w:szCs w:val="18"/>
    </w:rPr>
  </w:style>
  <w:style w:type="paragraph" w:styleId="35">
    <w:name w:val="header"/>
    <w:basedOn w:val="1"/>
    <w:link w:val="83"/>
    <w:qFormat/>
    <w:uiPriority w:val="0"/>
    <w:pPr>
      <w:tabs>
        <w:tab w:val="center" w:pos="4153"/>
        <w:tab w:val="right" w:pos="8306"/>
      </w:tabs>
      <w:jc w:val="center"/>
    </w:pPr>
    <w:rPr>
      <w:sz w:val="18"/>
      <w:szCs w:val="18"/>
    </w:rPr>
  </w:style>
  <w:style w:type="paragraph" w:styleId="36">
    <w:name w:val="toc 1"/>
    <w:basedOn w:val="1"/>
    <w:next w:val="1"/>
    <w:qFormat/>
    <w:uiPriority w:val="0"/>
    <w:pPr>
      <w:spacing w:before="120" w:after="120"/>
      <w:jc w:val="left"/>
    </w:pPr>
    <w:rPr>
      <w:rFonts w:cs="Calibri"/>
      <w:b/>
      <w:bCs/>
      <w:caps/>
      <w:sz w:val="20"/>
      <w:szCs w:val="20"/>
    </w:rPr>
  </w:style>
  <w:style w:type="paragraph" w:styleId="37">
    <w:name w:val="toc 4"/>
    <w:basedOn w:val="1"/>
    <w:next w:val="1"/>
    <w:unhideWhenUsed/>
    <w:qFormat/>
    <w:uiPriority w:val="0"/>
    <w:pPr>
      <w:spacing w:after="57"/>
      <w:ind w:left="850"/>
    </w:pPr>
  </w:style>
  <w:style w:type="paragraph" w:styleId="38">
    <w:name w:val="Subtitle"/>
    <w:basedOn w:val="1"/>
    <w:next w:val="1"/>
    <w:link w:val="84"/>
    <w:qFormat/>
    <w:uiPriority w:val="11"/>
    <w:pPr>
      <w:spacing w:before="200" w:after="200"/>
    </w:pPr>
    <w:rPr>
      <w:sz w:val="24"/>
      <w:szCs w:val="24"/>
    </w:rPr>
  </w:style>
  <w:style w:type="paragraph" w:styleId="39">
    <w:name w:val="List"/>
    <w:basedOn w:val="1"/>
    <w:qFormat/>
    <w:uiPriority w:val="0"/>
    <w:pPr>
      <w:ind w:left="200" w:hanging="200"/>
    </w:pPr>
    <w:rPr>
      <w:rFonts w:ascii="Times New Roman" w:hAnsi="Times New Roman"/>
      <w:szCs w:val="21"/>
    </w:rPr>
  </w:style>
  <w:style w:type="paragraph" w:styleId="40">
    <w:name w:val="footnote text"/>
    <w:basedOn w:val="1"/>
    <w:link w:val="85"/>
    <w:unhideWhenUsed/>
    <w:qFormat/>
    <w:uiPriority w:val="99"/>
    <w:pPr>
      <w:spacing w:after="40"/>
    </w:pPr>
    <w:rPr>
      <w:sz w:val="18"/>
    </w:rPr>
  </w:style>
  <w:style w:type="paragraph" w:styleId="41">
    <w:name w:val="toc 6"/>
    <w:basedOn w:val="1"/>
    <w:next w:val="1"/>
    <w:unhideWhenUsed/>
    <w:qFormat/>
    <w:uiPriority w:val="0"/>
    <w:pPr>
      <w:spacing w:after="57"/>
      <w:ind w:left="1417"/>
    </w:pPr>
  </w:style>
  <w:style w:type="paragraph" w:styleId="42">
    <w:name w:val="Body Text Indent 3"/>
    <w:basedOn w:val="1"/>
    <w:link w:val="86"/>
    <w:qFormat/>
    <w:uiPriority w:val="0"/>
    <w:pPr>
      <w:ind w:left="645" w:firstLine="645"/>
    </w:pPr>
    <w:rPr>
      <w:rFonts w:ascii="Arial" w:hAnsi="Arial" w:eastAsia="仿宋_GB2312" w:cs="Arial"/>
      <w:color w:val="FFFF00"/>
      <w:sz w:val="32"/>
      <w:szCs w:val="32"/>
    </w:rPr>
  </w:style>
  <w:style w:type="paragraph" w:styleId="43">
    <w:name w:val="table of figures"/>
    <w:basedOn w:val="1"/>
    <w:next w:val="1"/>
    <w:unhideWhenUsed/>
    <w:qFormat/>
    <w:uiPriority w:val="0"/>
  </w:style>
  <w:style w:type="paragraph" w:styleId="44">
    <w:name w:val="toc 2"/>
    <w:basedOn w:val="1"/>
    <w:next w:val="1"/>
    <w:qFormat/>
    <w:uiPriority w:val="0"/>
    <w:pPr>
      <w:ind w:left="210"/>
      <w:jc w:val="left"/>
    </w:pPr>
    <w:rPr>
      <w:rFonts w:cs="Calibri"/>
      <w:smallCaps/>
      <w:sz w:val="20"/>
      <w:szCs w:val="20"/>
    </w:rPr>
  </w:style>
  <w:style w:type="paragraph" w:styleId="45">
    <w:name w:val="toc 9"/>
    <w:basedOn w:val="1"/>
    <w:next w:val="1"/>
    <w:unhideWhenUsed/>
    <w:qFormat/>
    <w:uiPriority w:val="0"/>
    <w:pPr>
      <w:spacing w:after="57"/>
      <w:ind w:left="2268"/>
    </w:pPr>
  </w:style>
  <w:style w:type="paragraph" w:styleId="46">
    <w:name w:val="Body Text 2"/>
    <w:basedOn w:val="1"/>
    <w:link w:val="87"/>
    <w:qFormat/>
    <w:uiPriority w:val="0"/>
    <w:pPr>
      <w:widowControl/>
      <w:jc w:val="center"/>
    </w:pPr>
    <w:rPr>
      <w:rFonts w:ascii="楷体_GB2312" w:hAnsi="Times New Roman" w:eastAsia="楷体_GB2312"/>
      <w:sz w:val="28"/>
      <w:szCs w:val="28"/>
    </w:rPr>
  </w:style>
  <w:style w:type="paragraph" w:styleId="47">
    <w:name w:val="HTML Preformatted"/>
    <w:basedOn w:val="1"/>
    <w:link w:val="8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sz w:val="24"/>
      <w:szCs w:val="24"/>
    </w:rPr>
  </w:style>
  <w:style w:type="paragraph" w:styleId="48">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49">
    <w:name w:val="index 1"/>
    <w:basedOn w:val="1"/>
    <w:next w:val="1"/>
    <w:semiHidden/>
    <w:qFormat/>
    <w:uiPriority w:val="0"/>
    <w:pPr>
      <w:spacing w:line="240" w:lineRule="atLeast"/>
    </w:pPr>
    <w:rPr>
      <w:rFonts w:ascii="Times New Roman" w:hAnsi="Times New Roman"/>
      <w:b/>
      <w:bCs/>
      <w:szCs w:val="21"/>
    </w:rPr>
  </w:style>
  <w:style w:type="paragraph" w:styleId="50">
    <w:name w:val="Title"/>
    <w:basedOn w:val="1"/>
    <w:next w:val="1"/>
    <w:link w:val="89"/>
    <w:qFormat/>
    <w:uiPriority w:val="10"/>
    <w:pPr>
      <w:spacing w:before="300" w:after="200"/>
      <w:contextualSpacing/>
    </w:pPr>
    <w:rPr>
      <w:sz w:val="48"/>
      <w:szCs w:val="48"/>
    </w:rPr>
  </w:style>
  <w:style w:type="paragraph" w:styleId="51">
    <w:name w:val="annotation subject"/>
    <w:basedOn w:val="21"/>
    <w:next w:val="21"/>
    <w:link w:val="90"/>
    <w:semiHidden/>
    <w:qFormat/>
    <w:uiPriority w:val="0"/>
    <w:rPr>
      <w:b/>
      <w:bCs/>
    </w:rPr>
  </w:style>
  <w:style w:type="paragraph" w:styleId="52">
    <w:name w:val="Body Text First Indent 2"/>
    <w:basedOn w:val="24"/>
    <w:link w:val="91"/>
    <w:qFormat/>
    <w:uiPriority w:val="0"/>
    <w:pPr>
      <w:spacing w:line="360" w:lineRule="auto"/>
      <w:ind w:firstLine="420"/>
    </w:pPr>
    <w:rPr>
      <w:rFonts w:ascii="宋体" w:hAnsi="宋体" w:eastAsia="宋体"/>
      <w:sz w:val="21"/>
      <w:szCs w:val="20"/>
    </w:rPr>
  </w:style>
  <w:style w:type="table" w:styleId="54">
    <w:name w:val="Table Grid"/>
    <w:basedOn w:val="53"/>
    <w:qFormat/>
    <w:uiPriority w:val="0"/>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6">
    <w:name w:val="Strong"/>
    <w:qFormat/>
    <w:uiPriority w:val="0"/>
    <w:rPr>
      <w:b/>
      <w:bCs/>
    </w:rPr>
  </w:style>
  <w:style w:type="character" w:styleId="57">
    <w:name w:val="endnote reference"/>
    <w:unhideWhenUsed/>
    <w:qFormat/>
    <w:uiPriority w:val="99"/>
    <w:rPr>
      <w:vertAlign w:val="superscript"/>
    </w:rPr>
  </w:style>
  <w:style w:type="character" w:styleId="58">
    <w:name w:val="page number"/>
    <w:qFormat/>
    <w:uiPriority w:val="0"/>
  </w:style>
  <w:style w:type="character" w:styleId="59">
    <w:name w:val="FollowedHyperlink"/>
    <w:qFormat/>
    <w:uiPriority w:val="0"/>
    <w:rPr>
      <w:color w:val="800080"/>
      <w:u w:val="single"/>
    </w:rPr>
  </w:style>
  <w:style w:type="character" w:styleId="60">
    <w:name w:val="Hyperlink"/>
    <w:qFormat/>
    <w:uiPriority w:val="0"/>
    <w:rPr>
      <w:color w:val="0000FF"/>
      <w:u w:val="single"/>
    </w:rPr>
  </w:style>
  <w:style w:type="character" w:styleId="61">
    <w:name w:val="annotation reference"/>
    <w:semiHidden/>
    <w:qFormat/>
    <w:uiPriority w:val="0"/>
    <w:rPr>
      <w:sz w:val="21"/>
      <w:szCs w:val="21"/>
    </w:rPr>
  </w:style>
  <w:style w:type="character" w:styleId="62">
    <w:name w:val="footnote reference"/>
    <w:unhideWhenUsed/>
    <w:qFormat/>
    <w:uiPriority w:val="99"/>
    <w:rPr>
      <w:vertAlign w:val="superscript"/>
    </w:rPr>
  </w:style>
  <w:style w:type="character" w:customStyle="1" w:styleId="63">
    <w:name w:val="标题 1 字符"/>
    <w:link w:val="2"/>
    <w:qFormat/>
    <w:uiPriority w:val="0"/>
    <w:rPr>
      <w:rFonts w:ascii="Arial" w:hAnsi="Arial" w:eastAsia="Arial" w:cs="Arial"/>
      <w:sz w:val="40"/>
      <w:szCs w:val="40"/>
    </w:rPr>
  </w:style>
  <w:style w:type="character" w:customStyle="1" w:styleId="64">
    <w:name w:val="标题 2 字符"/>
    <w:link w:val="3"/>
    <w:qFormat/>
    <w:uiPriority w:val="0"/>
    <w:rPr>
      <w:rFonts w:ascii="Arial" w:hAnsi="Arial" w:eastAsia="Arial" w:cs="Arial"/>
      <w:sz w:val="34"/>
    </w:rPr>
  </w:style>
  <w:style w:type="character" w:customStyle="1" w:styleId="65">
    <w:name w:val="正文缩进 字符"/>
    <w:link w:val="4"/>
    <w:qFormat/>
    <w:uiPriority w:val="0"/>
    <w:rPr>
      <w:rFonts w:ascii="宋体" w:hAnsi="Calibri"/>
      <w:color w:val="000000"/>
      <w:sz w:val="24"/>
    </w:rPr>
  </w:style>
  <w:style w:type="character" w:customStyle="1" w:styleId="66">
    <w:name w:val="标题 3 字符"/>
    <w:link w:val="5"/>
    <w:qFormat/>
    <w:uiPriority w:val="0"/>
    <w:rPr>
      <w:rFonts w:ascii="Arial" w:hAnsi="Arial" w:eastAsia="Arial" w:cs="Arial"/>
      <w:sz w:val="30"/>
      <w:szCs w:val="30"/>
    </w:rPr>
  </w:style>
  <w:style w:type="character" w:customStyle="1" w:styleId="67">
    <w:name w:val="标题 4 字符"/>
    <w:link w:val="11"/>
    <w:qFormat/>
    <w:uiPriority w:val="0"/>
    <w:rPr>
      <w:rFonts w:ascii="Arial" w:hAnsi="Arial" w:eastAsia="Arial" w:cs="Arial"/>
      <w:b/>
      <w:bCs/>
      <w:sz w:val="26"/>
      <w:szCs w:val="26"/>
    </w:rPr>
  </w:style>
  <w:style w:type="character" w:customStyle="1" w:styleId="68">
    <w:name w:val="标题 5 字符"/>
    <w:link w:val="12"/>
    <w:qFormat/>
    <w:uiPriority w:val="0"/>
    <w:rPr>
      <w:rFonts w:ascii="Arial" w:hAnsi="Arial" w:eastAsia="Arial" w:cs="Arial"/>
      <w:b/>
      <w:bCs/>
      <w:sz w:val="24"/>
      <w:szCs w:val="24"/>
    </w:rPr>
  </w:style>
  <w:style w:type="character" w:customStyle="1" w:styleId="69">
    <w:name w:val="标题 6 字符"/>
    <w:link w:val="13"/>
    <w:qFormat/>
    <w:uiPriority w:val="0"/>
    <w:rPr>
      <w:rFonts w:ascii="Arial" w:hAnsi="Arial" w:eastAsia="Arial" w:cs="Arial"/>
      <w:b/>
      <w:bCs/>
      <w:sz w:val="22"/>
      <w:szCs w:val="22"/>
    </w:rPr>
  </w:style>
  <w:style w:type="character" w:customStyle="1" w:styleId="70">
    <w:name w:val="标题 7 字符"/>
    <w:link w:val="14"/>
    <w:qFormat/>
    <w:uiPriority w:val="0"/>
    <w:rPr>
      <w:rFonts w:ascii="Arial" w:hAnsi="Arial" w:eastAsia="Arial" w:cs="Arial"/>
      <w:b/>
      <w:bCs/>
      <w:i/>
      <w:iCs/>
      <w:sz w:val="22"/>
      <w:szCs w:val="22"/>
    </w:rPr>
  </w:style>
  <w:style w:type="character" w:customStyle="1" w:styleId="71">
    <w:name w:val="标题 8 字符"/>
    <w:link w:val="15"/>
    <w:qFormat/>
    <w:uiPriority w:val="0"/>
    <w:rPr>
      <w:rFonts w:ascii="Arial" w:hAnsi="Arial" w:eastAsia="Arial" w:cs="Arial"/>
      <w:i/>
      <w:iCs/>
      <w:sz w:val="22"/>
      <w:szCs w:val="22"/>
    </w:rPr>
  </w:style>
  <w:style w:type="character" w:customStyle="1" w:styleId="72">
    <w:name w:val="标题 9 字符"/>
    <w:link w:val="16"/>
    <w:qFormat/>
    <w:uiPriority w:val="0"/>
    <w:rPr>
      <w:rFonts w:ascii="Arial" w:hAnsi="Arial" w:eastAsia="Arial" w:cs="Arial"/>
      <w:i/>
      <w:iCs/>
      <w:sz w:val="21"/>
      <w:szCs w:val="21"/>
    </w:rPr>
  </w:style>
  <w:style w:type="character" w:customStyle="1" w:styleId="73">
    <w:name w:val="文档结构图 字符"/>
    <w:link w:val="20"/>
    <w:semiHidden/>
    <w:qFormat/>
    <w:uiPriority w:val="0"/>
    <w:rPr>
      <w:sz w:val="21"/>
      <w:szCs w:val="21"/>
      <w:shd w:val="clear" w:color="auto" w:fill="000080"/>
    </w:rPr>
  </w:style>
  <w:style w:type="character" w:customStyle="1" w:styleId="74">
    <w:name w:val="批注文字 字符"/>
    <w:link w:val="21"/>
    <w:semiHidden/>
    <w:qFormat/>
    <w:uiPriority w:val="0"/>
    <w:rPr>
      <w:sz w:val="21"/>
      <w:szCs w:val="21"/>
    </w:rPr>
  </w:style>
  <w:style w:type="character" w:customStyle="1" w:styleId="75">
    <w:name w:val="正文文本 3 字符"/>
    <w:link w:val="22"/>
    <w:qFormat/>
    <w:uiPriority w:val="0"/>
    <w:rPr>
      <w:rFonts w:ascii="仿宋_GB2312" w:hAnsi="Arial" w:eastAsia="仿宋_GB2312"/>
      <w:sz w:val="32"/>
      <w:szCs w:val="32"/>
    </w:rPr>
  </w:style>
  <w:style w:type="character" w:customStyle="1" w:styleId="76">
    <w:name w:val="正文文本缩进 字符1"/>
    <w:link w:val="24"/>
    <w:qFormat/>
    <w:uiPriority w:val="0"/>
    <w:rPr>
      <w:rFonts w:ascii="仿宋_GB2312" w:hAnsi="Calibri" w:eastAsia="仿宋_GB2312"/>
      <w:sz w:val="32"/>
      <w:szCs w:val="22"/>
    </w:rPr>
  </w:style>
  <w:style w:type="character" w:customStyle="1" w:styleId="77">
    <w:name w:val="纯文本 字符"/>
    <w:link w:val="28"/>
    <w:qFormat/>
    <w:uiPriority w:val="0"/>
    <w:rPr>
      <w:rFonts w:ascii="宋体" w:hAnsi="Courier New" w:cs="Courier New"/>
      <w:sz w:val="21"/>
      <w:szCs w:val="21"/>
    </w:rPr>
  </w:style>
  <w:style w:type="character" w:customStyle="1" w:styleId="78">
    <w:name w:val="日期 字符"/>
    <w:link w:val="30"/>
    <w:qFormat/>
    <w:uiPriority w:val="0"/>
    <w:rPr>
      <w:sz w:val="24"/>
      <w:szCs w:val="24"/>
    </w:rPr>
  </w:style>
  <w:style w:type="character" w:customStyle="1" w:styleId="79">
    <w:name w:val="正文文本缩进 2 字符"/>
    <w:link w:val="31"/>
    <w:qFormat/>
    <w:uiPriority w:val="0"/>
    <w:rPr>
      <w:rFonts w:ascii="Arial" w:hAnsi="Arial" w:eastAsia="仿宋_GB2312" w:cs="Arial"/>
      <w:sz w:val="32"/>
      <w:szCs w:val="32"/>
    </w:rPr>
  </w:style>
  <w:style w:type="character" w:customStyle="1" w:styleId="80">
    <w:name w:val="尾注文本 字符"/>
    <w:link w:val="32"/>
    <w:qFormat/>
    <w:uiPriority w:val="99"/>
    <w:rPr>
      <w:sz w:val="20"/>
    </w:rPr>
  </w:style>
  <w:style w:type="character" w:customStyle="1" w:styleId="81">
    <w:name w:val="批注框文本 字符"/>
    <w:link w:val="33"/>
    <w:qFormat/>
    <w:uiPriority w:val="0"/>
    <w:rPr>
      <w:sz w:val="18"/>
      <w:szCs w:val="18"/>
    </w:rPr>
  </w:style>
  <w:style w:type="character" w:customStyle="1" w:styleId="82">
    <w:name w:val="页脚 字符"/>
    <w:link w:val="34"/>
    <w:qFormat/>
    <w:uiPriority w:val="99"/>
  </w:style>
  <w:style w:type="character" w:customStyle="1" w:styleId="83">
    <w:name w:val="页眉 字符"/>
    <w:link w:val="35"/>
    <w:qFormat/>
    <w:uiPriority w:val="0"/>
    <w:rPr>
      <w:rFonts w:ascii="Calibri" w:hAnsi="Calibri"/>
      <w:sz w:val="18"/>
      <w:szCs w:val="18"/>
    </w:rPr>
  </w:style>
  <w:style w:type="character" w:customStyle="1" w:styleId="84">
    <w:name w:val="副标题 字符"/>
    <w:link w:val="38"/>
    <w:qFormat/>
    <w:uiPriority w:val="11"/>
    <w:rPr>
      <w:sz w:val="24"/>
      <w:szCs w:val="24"/>
    </w:rPr>
  </w:style>
  <w:style w:type="character" w:customStyle="1" w:styleId="85">
    <w:name w:val="脚注文本 字符"/>
    <w:link w:val="40"/>
    <w:qFormat/>
    <w:uiPriority w:val="99"/>
    <w:rPr>
      <w:sz w:val="18"/>
    </w:rPr>
  </w:style>
  <w:style w:type="character" w:customStyle="1" w:styleId="86">
    <w:name w:val="正文文本缩进 3 字符"/>
    <w:link w:val="42"/>
    <w:qFormat/>
    <w:uiPriority w:val="0"/>
    <w:rPr>
      <w:rFonts w:ascii="Arial" w:hAnsi="Arial" w:eastAsia="仿宋_GB2312" w:cs="Arial"/>
      <w:color w:val="FFFF00"/>
      <w:sz w:val="32"/>
      <w:szCs w:val="32"/>
    </w:rPr>
  </w:style>
  <w:style w:type="character" w:customStyle="1" w:styleId="87">
    <w:name w:val="正文文本 2 字符"/>
    <w:link w:val="46"/>
    <w:qFormat/>
    <w:uiPriority w:val="0"/>
    <w:rPr>
      <w:rFonts w:ascii="楷体_GB2312" w:eastAsia="楷体_GB2312"/>
      <w:sz w:val="28"/>
      <w:szCs w:val="28"/>
    </w:rPr>
  </w:style>
  <w:style w:type="character" w:customStyle="1" w:styleId="88">
    <w:name w:val="HTML 预设格式 字符"/>
    <w:link w:val="47"/>
    <w:qFormat/>
    <w:uiPriority w:val="99"/>
    <w:rPr>
      <w:rFonts w:ascii="宋体" w:hAnsi="宋体"/>
      <w:sz w:val="24"/>
      <w:szCs w:val="24"/>
    </w:rPr>
  </w:style>
  <w:style w:type="character" w:customStyle="1" w:styleId="89">
    <w:name w:val="标题 字符"/>
    <w:link w:val="50"/>
    <w:qFormat/>
    <w:uiPriority w:val="10"/>
    <w:rPr>
      <w:sz w:val="48"/>
      <w:szCs w:val="48"/>
    </w:rPr>
  </w:style>
  <w:style w:type="character" w:customStyle="1" w:styleId="90">
    <w:name w:val="批注主题 字符"/>
    <w:link w:val="51"/>
    <w:semiHidden/>
    <w:qFormat/>
    <w:uiPriority w:val="0"/>
    <w:rPr>
      <w:b/>
      <w:bCs/>
      <w:sz w:val="21"/>
      <w:szCs w:val="21"/>
    </w:rPr>
  </w:style>
  <w:style w:type="character" w:customStyle="1" w:styleId="91">
    <w:name w:val="正文文本首行缩进 2 字符"/>
    <w:link w:val="52"/>
    <w:qFormat/>
    <w:uiPriority w:val="0"/>
    <w:rPr>
      <w:rFonts w:ascii="宋体" w:hAnsi="宋体" w:eastAsia="仿宋_GB2312"/>
      <w:sz w:val="21"/>
      <w:szCs w:val="22"/>
    </w:rPr>
  </w:style>
  <w:style w:type="paragraph" w:customStyle="1" w:styleId="92">
    <w:name w:val="正文首行缩进 21"/>
    <w:basedOn w:val="93"/>
    <w:next w:val="1"/>
    <w:qFormat/>
    <w:uiPriority w:val="0"/>
    <w:pPr>
      <w:spacing w:line="360" w:lineRule="auto"/>
      <w:ind w:firstLine="420"/>
    </w:pPr>
    <w:rPr>
      <w:rFonts w:ascii="宋体" w:hAnsi="宋体" w:eastAsia="宋体"/>
      <w:sz w:val="21"/>
      <w:szCs w:val="20"/>
    </w:rPr>
  </w:style>
  <w:style w:type="paragraph" w:customStyle="1" w:styleId="93">
    <w:name w:val="正文文本缩进1"/>
    <w:basedOn w:val="1"/>
    <w:next w:val="94"/>
    <w:qFormat/>
    <w:uiPriority w:val="0"/>
    <w:pPr>
      <w:ind w:firstLine="645"/>
    </w:pPr>
    <w:rPr>
      <w:rFonts w:ascii="楷体_GB2312" w:eastAsia="楷体_GB2312"/>
      <w:sz w:val="32"/>
      <w:szCs w:val="32"/>
    </w:rPr>
  </w:style>
  <w:style w:type="paragraph" w:customStyle="1" w:styleId="94">
    <w:name w:val="寄信人地址1"/>
    <w:basedOn w:val="1"/>
    <w:qFormat/>
    <w:uiPriority w:val="0"/>
    <w:rPr>
      <w:rFonts w:ascii="Arial" w:hAnsi="Arial"/>
    </w:rPr>
  </w:style>
  <w:style w:type="paragraph" w:customStyle="1" w:styleId="95">
    <w:name w:val="标题 41"/>
    <w:basedOn w:val="96"/>
    <w:next w:val="1"/>
    <w:qFormat/>
    <w:uiPriority w:val="0"/>
    <w:pPr>
      <w:keepNext/>
      <w:keepLines/>
      <w:widowControl w:val="0"/>
      <w:tabs>
        <w:tab w:val="left" w:pos="1134"/>
        <w:tab w:val="right" w:pos="7371"/>
      </w:tabs>
      <w:spacing w:line="360" w:lineRule="auto"/>
      <w:outlineLvl w:val="3"/>
    </w:pPr>
    <w:rPr>
      <w:rFonts w:ascii="宋体"/>
      <w:color w:val="800000"/>
      <w:sz w:val="28"/>
      <w:szCs w:val="20"/>
    </w:rPr>
  </w:style>
  <w:style w:type="paragraph" w:customStyle="1" w:styleId="96">
    <w:name w:val="Normal_20"/>
    <w:next w:val="97"/>
    <w:qFormat/>
    <w:uiPriority w:val="0"/>
    <w:rPr>
      <w:rFonts w:ascii="黑体" w:hAnsi="黑体" w:eastAsia="黑体" w:cs="黑体"/>
      <w:b/>
      <w:sz w:val="32"/>
      <w:szCs w:val="24"/>
      <w:lang w:val="en-US" w:eastAsia="zh-CN" w:bidi="ar-SA"/>
    </w:rPr>
  </w:style>
  <w:style w:type="paragraph" w:customStyle="1" w:styleId="97">
    <w:name w:val="Body Text First Indent_2"/>
    <w:basedOn w:val="96"/>
    <w:qFormat/>
    <w:uiPriority w:val="0"/>
    <w:pPr>
      <w:spacing w:after="120"/>
      <w:ind w:firstLine="100" w:firstLineChars="100"/>
    </w:pPr>
  </w:style>
  <w:style w:type="paragraph" w:customStyle="1" w:styleId="98">
    <w:name w:val="脚注文本1"/>
    <w:basedOn w:val="1"/>
    <w:qFormat/>
    <w:uiPriority w:val="0"/>
    <w:pPr>
      <w:jc w:val="left"/>
    </w:pPr>
    <w:rPr>
      <w:rFonts w:eastAsia="Times New Roman"/>
      <w:sz w:val="18"/>
      <w:szCs w:val="24"/>
    </w:rPr>
  </w:style>
  <w:style w:type="table" w:customStyle="1" w:styleId="99">
    <w:name w:val="Plain Table 1"/>
    <w:basedOn w:val="53"/>
    <w:qFormat/>
    <w:uiPriority w:val="59"/>
    <w:pPr>
      <w:spacing w:after="0" w:line="240" w:lineRule="auto"/>
    </w:pPr>
    <w:tblPr>
      <w:tblBorders>
        <w:top w:val="single" w:color="AEAEAE" w:sz="4" w:space="0"/>
        <w:left w:val="single" w:color="AEAEAE" w:sz="4" w:space="0"/>
        <w:bottom w:val="single" w:color="AEAEAE" w:sz="4" w:space="0"/>
        <w:right w:val="single" w:color="AEAEAE" w:sz="4" w:space="0"/>
        <w:insideH w:val="single" w:color="AEAEAE" w:sz="4" w:space="0"/>
        <w:insideV w:val="single" w:color="AEAEAE" w:sz="4" w:space="0"/>
      </w:tblBorders>
      <w:tblCellMar>
        <w:top w:w="0" w:type="dxa"/>
        <w:left w:w="108" w:type="dxa"/>
        <w:bottom w:w="0" w:type="dxa"/>
        <w:right w:w="108" w:type="dxa"/>
      </w:tblCellMar>
    </w:tblPr>
    <w:tblStylePr w:type="firstRow">
      <w:rPr>
        <w:rFonts w:ascii="等线" w:hAnsi="等线"/>
        <w:b/>
        <w:color w:val="404040"/>
        <w:sz w:val="22"/>
      </w:rPr>
    </w:tblStylePr>
    <w:tblStylePr w:type="lastRow">
      <w:rPr>
        <w:rFonts w:ascii="等线" w:hAnsi="等线"/>
        <w:b/>
        <w:color w:val="404040"/>
        <w:sz w:val="22"/>
      </w:rPr>
    </w:tblStylePr>
    <w:tblStylePr w:type="firstCol">
      <w:rPr>
        <w:rFonts w:ascii="等线" w:hAnsi="等线"/>
        <w:b/>
        <w:color w:val="404040"/>
        <w:sz w:val="22"/>
      </w:rPr>
    </w:tblStylePr>
    <w:tblStylePr w:type="lastCol">
      <w:rPr>
        <w:rFonts w:ascii="等线" w:hAnsi="等线"/>
        <w:b/>
        <w:color w:val="404040"/>
        <w:sz w:val="22"/>
      </w:rPr>
    </w:tblStylePr>
    <w:tblStylePr w:type="band1Vert">
      <w:tcPr>
        <w:shd w:val="clear" w:color="F1F1F1" w:fill="F1F1F1"/>
      </w:tcPr>
    </w:tblStylePr>
    <w:tblStylePr w:type="band1Horz">
      <w:tcPr>
        <w:shd w:val="clear" w:color="F1F1F1" w:fill="F1F1F1"/>
      </w:tcPr>
    </w:tblStylePr>
  </w:style>
  <w:style w:type="table" w:customStyle="1" w:styleId="100">
    <w:name w:val="Plain Table 2"/>
    <w:basedOn w:val="53"/>
    <w:qFormat/>
    <w:uiPriority w:val="59"/>
    <w:pPr>
      <w:spacing w:after="0" w:line="240" w:lineRule="auto"/>
    </w:pPr>
    <w:tblPr>
      <w:tblBorders>
        <w:top w:val="single" w:color="000000" w:sz="4" w:space="0"/>
        <w:left w:val="none" w:color="000000" w:sz="4" w:space="0"/>
        <w:bottom w:val="single" w:color="000000" w:sz="4" w:space="0"/>
        <w:right w:val="none" w:color="000000" w:sz="4" w:space="0"/>
      </w:tblBorders>
      <w:tblCellMar>
        <w:top w:w="0" w:type="dxa"/>
        <w:left w:w="108" w:type="dxa"/>
        <w:bottom w:w="0" w:type="dxa"/>
        <w:right w:w="108" w:type="dxa"/>
      </w:tblCellMar>
    </w:tblPr>
    <w:tblStylePr w:type="firstRow">
      <w:rPr>
        <w:rFonts w:ascii="等线" w:hAnsi="等线"/>
        <w:b/>
        <w:color w:val="404040"/>
        <w:sz w:val="22"/>
      </w:rPr>
      <w:tcPr>
        <w:tcBorders>
          <w:top w:val="single" w:color="000000" w:sz="4" w:space="0"/>
          <w:left w:val="nil"/>
          <w:bottom w:val="single" w:color="000000" w:sz="4" w:space="0"/>
          <w:right w:val="nil"/>
          <w:insideH w:val="nil"/>
          <w:insideV w:val="nil"/>
          <w:tl2br w:val="nil"/>
          <w:tr2bl w:val="nil"/>
        </w:tcBorders>
      </w:tcPr>
    </w:tblStylePr>
    <w:tblStylePr w:type="lastRow">
      <w:rPr>
        <w:rFonts w:ascii="等线" w:hAnsi="等线"/>
        <w:b/>
        <w:color w:val="404040"/>
        <w:sz w:val="22"/>
      </w:rPr>
    </w:tblStylePr>
    <w:tblStylePr w:type="firstCol">
      <w:rPr>
        <w:rFonts w:ascii="等线" w:hAnsi="等线"/>
        <w:b/>
        <w:color w:val="404040"/>
        <w:sz w:val="22"/>
      </w:rPr>
    </w:tblStylePr>
    <w:tblStylePr w:type="lastCol">
      <w:rPr>
        <w:rFonts w:ascii="等线" w:hAnsi="等线"/>
        <w:b/>
        <w:color w:val="404040"/>
        <w:sz w:val="22"/>
      </w:rPr>
    </w:tblStylePr>
    <w:tblStylePr w:type="band1Vert">
      <w:tcPr>
        <w:tcBorders>
          <w:top w:val="nil"/>
          <w:left w:val="single" w:color="000000" w:sz="4" w:space="0"/>
          <w:bottom w:val="nil"/>
          <w:right w:val="single" w:color="000000" w:sz="4" w:space="0"/>
          <w:insideH w:val="nil"/>
          <w:insideV w:val="nil"/>
          <w:tl2br w:val="nil"/>
          <w:tr2bl w:val="nil"/>
        </w:tcBorders>
      </w:tcPr>
    </w:tblStylePr>
    <w:tblStylePr w:type="band2Vert">
      <w:tcPr>
        <w:tcBorders>
          <w:top w:val="nil"/>
          <w:left w:val="single" w:color="000000" w:sz="4" w:space="0"/>
          <w:bottom w:val="nil"/>
          <w:right w:val="single" w:color="000000" w:sz="4" w:space="0"/>
          <w:insideH w:val="nil"/>
          <w:insideV w:val="nil"/>
          <w:tl2br w:val="nil"/>
          <w:tr2bl w:val="nil"/>
        </w:tcBorders>
      </w:tcPr>
    </w:tblStylePr>
    <w:tblStylePr w:type="band1Horz">
      <w:tcPr>
        <w:tcBorders>
          <w:top w:val="single" w:color="000000" w:sz="4" w:space="0"/>
          <w:left w:val="nil"/>
          <w:bottom w:val="single" w:color="000000" w:sz="4" w:space="0"/>
          <w:right w:val="nil"/>
          <w:insideH w:val="nil"/>
          <w:insideV w:val="nil"/>
          <w:tl2br w:val="nil"/>
          <w:tr2bl w:val="nil"/>
        </w:tcBorders>
      </w:tcPr>
    </w:tblStylePr>
  </w:style>
  <w:style w:type="table" w:customStyle="1" w:styleId="101">
    <w:name w:val="Plain Table 3"/>
    <w:basedOn w:val="53"/>
    <w:qFormat/>
    <w:uiPriority w:val="99"/>
    <w:pPr>
      <w:spacing w:after="0" w:line="240" w:lineRule="auto"/>
    </w:pPr>
    <w:tblStylePr w:type="firstRow">
      <w:rPr>
        <w:b/>
        <w:caps/>
        <w:color w:val="404040"/>
      </w:rPr>
      <w:tcPr>
        <w:tcBorders>
          <w:top w:val="nil"/>
          <w:left w:val="nil"/>
          <w:bottom w:val="single" w:color="404040" w:sz="4" w:space="0"/>
          <w:right w:val="nil"/>
          <w:insideH w:val="nil"/>
          <w:insideV w:val="nil"/>
          <w:tl2br w:val="nil"/>
          <w:tr2bl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insideH w:val="nil"/>
          <w:insideV w:val="nil"/>
          <w:tl2br w:val="nil"/>
          <w:tr2bl w:val="nil"/>
        </w:tcBorders>
      </w:tcPr>
    </w:tblStylePr>
    <w:tblStylePr w:type="lastCol">
      <w:rPr>
        <w:b/>
        <w:caps/>
        <w:color w:val="404040"/>
      </w:r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02">
    <w:name w:val="Plain Table 4"/>
    <w:basedOn w:val="53"/>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03">
    <w:name w:val="Plain Table 5"/>
    <w:basedOn w:val="53"/>
    <w:qFormat/>
    <w:uiPriority w:val="99"/>
    <w:pPr>
      <w:spacing w:after="0" w:line="240" w:lineRule="auto"/>
    </w:pPr>
    <w:tblStylePr w:type="firstRow">
      <w:rPr>
        <w:i/>
        <w:color w:val="404040"/>
      </w:rPr>
      <w:tcPr>
        <w:tcBorders>
          <w:top w:val="nil"/>
          <w:left w:val="nil"/>
          <w:bottom w:val="single" w:color="404040" w:sz="4" w:space="0"/>
          <w:right w:val="nil"/>
          <w:insideH w:val="nil"/>
          <w:insideV w:val="nil"/>
          <w:tl2br w:val="nil"/>
          <w:tr2bl w:val="nil"/>
        </w:tcBorders>
        <w:shd w:val="clear" w:color="FFFFFF" w:fill="auto"/>
      </w:tcPr>
    </w:tblStylePr>
    <w:tblStylePr w:type="lastRow">
      <w:rPr>
        <w:i/>
        <w:color w:val="404040"/>
      </w:rPr>
      <w:tcPr>
        <w:tcBorders>
          <w:top w:val="single" w:color="404040" w:sz="4" w:space="0"/>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single" w:color="404040" w:sz="4" w:space="0"/>
          <w:insideH w:val="nil"/>
          <w:insideV w:val="nil"/>
          <w:tl2br w:val="nil"/>
          <w:tr2bl w:val="nil"/>
        </w:tcBorders>
        <w:shd w:val="clear" w:color="FFFFFF" w:fill="auto"/>
      </w:tcPr>
    </w:tblStylePr>
    <w:tblStylePr w:type="lastCol">
      <w:rPr>
        <w:i/>
        <w:color w:val="404040"/>
      </w:rPr>
      <w:tcPr>
        <w:tcBorders>
          <w:top w:val="nil"/>
          <w:left w:val="single" w:color="404040" w:sz="4" w:space="0"/>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04">
    <w:name w:val="Grid Table 1 Light"/>
    <w:basedOn w:val="53"/>
    <w:qFormat/>
    <w:uiPriority w:val="99"/>
    <w:pPr>
      <w:spacing w:after="0" w:line="240" w:lineRule="auto"/>
    </w:pPr>
    <w:tblPr>
      <w:tblBorders>
        <w:top w:val="single" w:color="979797" w:sz="4" w:space="0"/>
        <w:left w:val="single" w:color="979797" w:sz="4" w:space="0"/>
        <w:bottom w:val="single" w:color="979797" w:sz="4" w:space="0"/>
        <w:right w:val="single" w:color="979797" w:sz="4" w:space="0"/>
        <w:insideH w:val="single" w:color="979797" w:sz="4" w:space="0"/>
        <w:insideV w:val="single" w:color="979797" w:sz="4" w:space="0"/>
      </w:tblBorders>
    </w:tblPr>
    <w:tblStylePr w:type="firstRow">
      <w:rPr>
        <w:b/>
        <w:color w:val="404040"/>
      </w:rPr>
      <w:tcPr>
        <w:tcBorders>
          <w:top w:val="nil"/>
          <w:left w:val="nil"/>
          <w:bottom w:val="single" w:color="696969"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979797" w:sz="4" w:space="0"/>
          <w:left w:val="single" w:color="979797" w:sz="4" w:space="0"/>
          <w:bottom w:val="single" w:color="979797" w:sz="4" w:space="0"/>
          <w:right w:val="single" w:color="979797" w:sz="4" w:space="0"/>
          <w:insideH w:val="nil"/>
          <w:insideV w:val="nil"/>
          <w:tl2br w:val="nil"/>
          <w:tr2bl w:val="nil"/>
        </w:tcBorders>
      </w:tcPr>
    </w:tblStylePr>
  </w:style>
  <w:style w:type="table" w:customStyle="1" w:styleId="105">
    <w:name w:val="Grid Table 2"/>
    <w:basedOn w:val="53"/>
    <w:qFormat/>
    <w:uiPriority w:val="99"/>
    <w:pPr>
      <w:spacing w:after="0" w:line="240" w:lineRule="auto"/>
    </w:pPr>
    <w:tblPr>
      <w:tblBorders>
        <w:bottom w:val="single" w:color="696969" w:sz="4" w:space="0"/>
        <w:insideH w:val="single" w:color="696969" w:sz="4" w:space="0"/>
        <w:insideV w:val="single" w:color="696969" w:sz="4" w:space="0"/>
      </w:tblBorders>
    </w:tblPr>
    <w:tblStylePr w:type="firstRow">
      <w:rPr>
        <w:b/>
        <w:color w:val="404040"/>
      </w:rPr>
      <w:tcPr>
        <w:tcBorders>
          <w:top w:val="nil"/>
          <w:left w:val="nil"/>
          <w:bottom w:val="single" w:color="696969" w:sz="12" w:space="0"/>
          <w:right w:val="nil"/>
          <w:insideH w:val="nil"/>
          <w:insideV w:val="nil"/>
          <w:tl2br w:val="nil"/>
          <w:tr2bl w:val="nil"/>
        </w:tcBorders>
        <w:shd w:val="clear" w:color="FFFFFF" w:fill="auto"/>
      </w:tcPr>
    </w:tblStylePr>
    <w:tblStylePr w:type="lastRow">
      <w:rPr>
        <w:b/>
        <w:color w:val="404040"/>
      </w:rPr>
      <w:tcPr>
        <w:tcBorders>
          <w:top w:val="single" w:color="696969"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06">
    <w:name w:val="Grid Table 3"/>
    <w:basedOn w:val="53"/>
    <w:qFormat/>
    <w:uiPriority w:val="99"/>
    <w:pPr>
      <w:spacing w:after="0" w:line="240" w:lineRule="auto"/>
    </w:pPr>
    <w:tblPr>
      <w:tblBorders>
        <w:bottom w:val="single" w:color="696969" w:sz="4" w:space="0"/>
        <w:insideH w:val="single" w:color="696969" w:sz="4" w:space="0"/>
        <w:insideV w:val="single" w:color="696969"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07">
    <w:name w:val="Grid Table 4"/>
    <w:basedOn w:val="53"/>
    <w:qFormat/>
    <w:uiPriority w:val="59"/>
    <w:pPr>
      <w:spacing w:after="0" w:line="240" w:lineRule="auto"/>
    </w:pPr>
    <w:tblPr>
      <w:tblBorders>
        <w:top w:val="single" w:color="6E6E6E" w:sz="4" w:space="0"/>
        <w:left w:val="single" w:color="6E6E6E" w:sz="4" w:space="0"/>
        <w:bottom w:val="single" w:color="6E6E6E" w:sz="4" w:space="0"/>
        <w:right w:val="single" w:color="6E6E6E" w:sz="4" w:space="0"/>
        <w:insideH w:val="single" w:color="6E6E6E" w:sz="4" w:space="0"/>
        <w:insideV w:val="single" w:color="6E6E6E" w:sz="4" w:space="0"/>
      </w:tblBorders>
    </w:tblPr>
    <w:tblStylePr w:type="firstRow">
      <w:rPr>
        <w:rFonts w:ascii="等线" w:hAnsi="等线"/>
        <w:b/>
        <w:color w:val="FFFFFF"/>
        <w:sz w:val="22"/>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000000" w:fill="000000"/>
      </w:tcPr>
    </w:tblStylePr>
    <w:tblStylePr w:type="lastRow">
      <w:rPr>
        <w:b/>
        <w:color w:val="404040"/>
      </w:rPr>
      <w:tcPr>
        <w:tcBorders>
          <w:top w:val="single" w:color="000000"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08">
    <w:name w:val="Grid Table 5 Dark"/>
    <w:basedOn w:val="53"/>
    <w:qFormat/>
    <w:uiPriority w:val="99"/>
    <w:pPr>
      <w:spacing w:after="0" w:line="240" w:lineRule="auto"/>
    </w:p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000000" w:fill="000000"/>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000000" w:fill="000000"/>
      </w:tcPr>
    </w:tblStylePr>
    <w:tblStylePr w:type="firstCol">
      <w:rPr>
        <w:rFonts w:ascii="等线" w:hAnsi="等线"/>
        <w:b/>
        <w:color w:val="FFFFFF"/>
        <w:sz w:val="22"/>
      </w:rPr>
      <w:tcPr>
        <w:shd w:val="clear" w:color="000000" w:fill="000000"/>
      </w:tcPr>
    </w:tblStylePr>
    <w:tblStylePr w:type="lastCol">
      <w:rPr>
        <w:rFonts w:ascii="等线" w:hAnsi="等线"/>
        <w:b/>
        <w:color w:val="FFFFFF"/>
        <w:sz w:val="22"/>
      </w:rPr>
      <w:tcPr>
        <w:shd w:val="clear" w:color="000000" w:fill="000000"/>
      </w:tcPr>
    </w:tblStylePr>
    <w:tblStylePr w:type="band1Vert">
      <w:tcPr>
        <w:shd w:val="clear" w:color="898989" w:fill="898989"/>
      </w:tcPr>
    </w:tblStylePr>
    <w:tblStylePr w:type="band1Horz">
      <w:tcPr>
        <w:shd w:val="clear" w:color="898989" w:fill="898989"/>
      </w:tcPr>
    </w:tblStylePr>
  </w:style>
  <w:style w:type="table" w:customStyle="1" w:styleId="109">
    <w:name w:val="Grid Table 6 Colorful"/>
    <w:basedOn w:val="53"/>
    <w:qFormat/>
    <w:uiPriority w:val="99"/>
    <w:pPr>
      <w:spacing w:after="0" w:line="240" w:lineRule="auto"/>
    </w:pPr>
    <w:tblPr>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Pr>
    <w:tblStylePr w:type="firstRow">
      <w:rPr>
        <w:b/>
        <w:color w:val="7F7F7F"/>
      </w:rPr>
      <w:tcPr>
        <w:tcBorders>
          <w:top w:val="nil"/>
          <w:left w:val="nil"/>
          <w:bottom w:val="single" w:color="7E7E7E" w:sz="12" w:space="0"/>
          <w:right w:val="nil"/>
          <w:insideH w:val="nil"/>
          <w:insideV w:val="nil"/>
          <w:tl2br w:val="nil"/>
          <w:tr2bl w:val="nil"/>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ACACA" w:fill="CACACA"/>
      </w:tcPr>
    </w:tblStylePr>
    <w:tblStylePr w:type="band1Horz">
      <w:rPr>
        <w:rFonts w:ascii="等线" w:hAnsi="等线"/>
        <w:color w:val="7F7F7F"/>
        <w:sz w:val="22"/>
      </w:rPr>
      <w:tcPr>
        <w:shd w:val="clear" w:color="CACACA" w:fill="CACACA"/>
      </w:tcPr>
    </w:tblStylePr>
    <w:tblStylePr w:type="band2Horz">
      <w:rPr>
        <w:rFonts w:ascii="等线" w:hAnsi="等线"/>
        <w:color w:val="7F7F7F"/>
        <w:sz w:val="22"/>
      </w:rPr>
    </w:tblStylePr>
  </w:style>
  <w:style w:type="table" w:customStyle="1" w:styleId="110">
    <w:name w:val="Grid Table 7 Colorful"/>
    <w:basedOn w:val="53"/>
    <w:qFormat/>
    <w:uiPriority w:val="99"/>
    <w:pPr>
      <w:spacing w:after="0" w:line="240" w:lineRule="auto"/>
    </w:pPr>
    <w:tblPr>
      <w:tblBorders>
        <w:bottom w:val="single" w:color="7E7E7E" w:sz="4" w:space="0"/>
        <w:right w:val="single" w:color="7E7E7E" w:sz="4" w:space="0"/>
        <w:insideH w:val="single" w:color="7E7E7E" w:sz="4" w:space="0"/>
        <w:insideV w:val="single" w:color="7E7E7E" w:sz="4" w:space="0"/>
      </w:tblBorders>
    </w:tblPr>
    <w:tblStylePr w:type="firstRow">
      <w:rPr>
        <w:rFonts w:ascii="等线" w:hAnsi="等线"/>
        <w:b/>
        <w:color w:val="7F7F7F"/>
        <w:sz w:val="22"/>
      </w:rPr>
      <w:tcPr>
        <w:tcBorders>
          <w:top w:val="nil"/>
          <w:left w:val="nil"/>
          <w:bottom w:val="single" w:color="7E7E7E" w:sz="4" w:space="0"/>
          <w:right w:val="nil"/>
          <w:insideH w:val="nil"/>
          <w:insideV w:val="nil"/>
          <w:tl2br w:val="nil"/>
          <w:tr2bl w:val="nil"/>
        </w:tcBorders>
        <w:shd w:val="clear" w:color="FFFFFF" w:fill="FFFFFF"/>
      </w:tcPr>
    </w:tblStylePr>
    <w:tblStylePr w:type="lastRow">
      <w:rPr>
        <w:rFonts w:ascii="等线" w:hAnsi="等线"/>
        <w:b/>
        <w:color w:val="7F7F7F"/>
        <w:sz w:val="22"/>
      </w:rPr>
      <w:tcPr>
        <w:tcBorders>
          <w:top w:val="single" w:color="7E7E7E"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7F7F7F"/>
        <w:sz w:val="22"/>
      </w:rPr>
      <w:tcPr>
        <w:tcBorders>
          <w:top w:val="nil"/>
          <w:left w:val="nil"/>
          <w:bottom w:val="nil"/>
          <w:right w:val="single" w:color="7E7E7E" w:sz="4" w:space="0"/>
          <w:insideH w:val="nil"/>
          <w:insideV w:val="nil"/>
          <w:tl2br w:val="nil"/>
          <w:tr2bl w:val="nil"/>
        </w:tcBorders>
        <w:shd w:val="clear" w:color="FFFFFF" w:fill="auto"/>
      </w:tcPr>
    </w:tblStylePr>
    <w:tblStylePr w:type="lastCol">
      <w:rPr>
        <w:rFonts w:ascii="等线" w:hAnsi="等线"/>
        <w:i/>
        <w:color w:val="7F7F7F"/>
        <w:sz w:val="22"/>
      </w:rPr>
      <w:tcPr>
        <w:tcBorders>
          <w:top w:val="nil"/>
          <w:left w:val="single" w:color="7E7E7E" w:sz="4" w:space="0"/>
          <w:bottom w:val="nil"/>
          <w:right w:val="nil"/>
          <w:insideH w:val="nil"/>
          <w:insideV w:val="nil"/>
          <w:tl2br w:val="nil"/>
          <w:tr2bl w:val="nil"/>
        </w:tcBorders>
        <w:shd w:val="clear" w:color="FFFFFF" w:fill="auto"/>
      </w:tcPr>
    </w:tblStylePr>
    <w:tblStylePr w:type="band1Vert">
      <w:tcPr>
        <w:shd w:val="clear" w:color="F1F1F1" w:fill="F1F1F1"/>
      </w:tcPr>
    </w:tblStylePr>
    <w:tblStylePr w:type="band1Horz">
      <w:rPr>
        <w:rFonts w:ascii="等线" w:hAnsi="等线"/>
        <w:color w:val="7F7F7F"/>
        <w:sz w:val="22"/>
      </w:rPr>
      <w:tcPr>
        <w:shd w:val="clear" w:color="F1F1F1" w:fill="F1F1F1"/>
      </w:tcPr>
    </w:tblStylePr>
    <w:tblStylePr w:type="band2Horz">
      <w:rPr>
        <w:rFonts w:ascii="等线" w:hAnsi="等线"/>
        <w:color w:val="7F7F7F"/>
        <w:sz w:val="22"/>
      </w:rPr>
    </w:tblStylePr>
  </w:style>
  <w:style w:type="table" w:customStyle="1" w:styleId="111">
    <w:name w:val="List Table 1 Light"/>
    <w:basedOn w:val="53"/>
    <w:qFormat/>
    <w:uiPriority w:val="99"/>
    <w:pPr>
      <w:spacing w:after="0" w:line="240" w:lineRule="auto"/>
    </w:pPr>
    <w:tblStylePr w:type="firstRow">
      <w:rPr>
        <w:b/>
        <w:color w:val="404040"/>
      </w:rPr>
      <w:tcPr>
        <w:tcBorders>
          <w:top w:val="nil"/>
          <w:left w:val="nil"/>
          <w:bottom w:val="single" w:color="000000" w:sz="4" w:space="0"/>
          <w:right w:val="nil"/>
          <w:insideH w:val="nil"/>
          <w:insideV w:val="nil"/>
          <w:tl2br w:val="nil"/>
          <w:tr2bl w:val="nil"/>
        </w:tcBorders>
      </w:tcPr>
    </w:tblStylePr>
    <w:tblStylePr w:type="lastRow">
      <w:rPr>
        <w:b/>
        <w:color w:val="404040"/>
      </w:rPr>
      <w:tcPr>
        <w:tcBorders>
          <w:top w:val="single" w:color="000000"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BEBEBE" w:fill="BEBEBE"/>
      </w:tcPr>
    </w:tblStylePr>
    <w:tblStylePr w:type="band1Horz">
      <w:tcPr>
        <w:shd w:val="clear" w:color="BEBEBE" w:fill="BEBEBE"/>
      </w:tcPr>
    </w:tblStylePr>
  </w:style>
  <w:style w:type="table" w:customStyle="1" w:styleId="112">
    <w:name w:val="List Table 2"/>
    <w:basedOn w:val="53"/>
    <w:qFormat/>
    <w:uiPriority w:val="99"/>
    <w:pPr>
      <w:spacing w:after="0" w:line="240" w:lineRule="auto"/>
    </w:pPr>
    <w:tblPr>
      <w:tblBorders>
        <w:top w:val="single" w:color="6E6E6E" w:sz="4" w:space="0"/>
        <w:bottom w:val="single" w:color="6E6E6E" w:sz="4" w:space="0"/>
        <w:insideH w:val="single" w:color="6E6E6E" w:sz="4" w:space="0"/>
      </w:tblBorders>
    </w:tblPr>
    <w:tblStylePr w:type="firstRow">
      <w:rPr>
        <w:rFonts w:ascii="等线" w:hAnsi="等线"/>
        <w:b/>
        <w:color w:val="404040"/>
        <w:sz w:val="22"/>
      </w:rPr>
      <w:tcPr>
        <w:tcBorders>
          <w:top w:val="single" w:color="6E6E6E" w:sz="4" w:space="0"/>
          <w:left w:val="nil"/>
          <w:bottom w:val="single" w:color="6E6E6E" w:sz="4" w:space="0"/>
          <w:right w:val="nil"/>
          <w:insideH w:val="nil"/>
          <w:insideV w:val="nil"/>
          <w:tl2br w:val="nil"/>
          <w:tr2bl w:val="nil"/>
        </w:tcBorders>
      </w:tcPr>
    </w:tblStylePr>
    <w:tblStylePr w:type="lastRow">
      <w:rPr>
        <w:rFonts w:ascii="等线" w:hAnsi="等线"/>
        <w:b/>
        <w:color w:val="404040"/>
        <w:sz w:val="22"/>
      </w:rPr>
      <w:tcPr>
        <w:tcBorders>
          <w:top w:val="single" w:color="6E6E6E" w:sz="4" w:space="0"/>
          <w:left w:val="nil"/>
          <w:bottom w:val="single" w:color="6E6E6E"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BEBEBE" w:fill="BEBEBE"/>
      </w:tcPr>
    </w:tblStylePr>
    <w:tblStylePr w:type="band1Horz">
      <w:rPr>
        <w:rFonts w:ascii="等线" w:hAnsi="等线"/>
        <w:color w:val="404040"/>
        <w:sz w:val="22"/>
      </w:rPr>
      <w:tcPr>
        <w:shd w:val="clear" w:color="BEBEBE" w:fill="BEBEBE"/>
      </w:tcPr>
    </w:tblStylePr>
  </w:style>
  <w:style w:type="table" w:customStyle="1" w:styleId="113">
    <w:name w:val="List Table 3"/>
    <w:basedOn w:val="53"/>
    <w:qFormat/>
    <w:uiPriority w:val="99"/>
    <w:pPr>
      <w:spacing w:after="0" w:line="240" w:lineRule="auto"/>
    </w:pPr>
    <w:tblPr>
      <w:tblBorders>
        <w:top w:val="single" w:color="000000" w:sz="4" w:space="0"/>
        <w:left w:val="single" w:color="000000" w:sz="4" w:space="0"/>
        <w:bottom w:val="single" w:color="000000" w:sz="4" w:space="0"/>
        <w:right w:val="single" w:color="000000" w:sz="4" w:space="0"/>
      </w:tblBorders>
    </w:tblPr>
    <w:tblStylePr w:type="firstRow">
      <w:rPr>
        <w:rFonts w:ascii="等线" w:hAnsi="等线"/>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000000" w:sz="4" w:space="0"/>
          <w:bottom w:val="nil"/>
          <w:right w:val="single" w:color="000000" w:sz="4" w:space="0"/>
          <w:insideH w:val="nil"/>
          <w:insideV w:val="nil"/>
          <w:tl2br w:val="nil"/>
          <w:tr2bl w:val="nil"/>
        </w:tcBorders>
      </w:tcPr>
    </w:tblStylePr>
    <w:tblStylePr w:type="band1Horz">
      <w:rPr>
        <w:rFonts w:ascii="等线" w:hAnsi="等线"/>
        <w:color w:val="404040"/>
        <w:sz w:val="22"/>
      </w:rPr>
      <w:tcPr>
        <w:tcBorders>
          <w:top w:val="single" w:color="000000" w:sz="4" w:space="0"/>
          <w:left w:val="nil"/>
          <w:bottom w:val="single" w:color="000000" w:sz="4" w:space="0"/>
          <w:right w:val="nil"/>
          <w:insideH w:val="nil"/>
          <w:insideV w:val="nil"/>
          <w:tl2br w:val="nil"/>
          <w:tr2bl w:val="nil"/>
        </w:tcBorders>
      </w:tcPr>
    </w:tblStylePr>
  </w:style>
  <w:style w:type="table" w:customStyle="1" w:styleId="114">
    <w:name w:val="List Table 4"/>
    <w:basedOn w:val="53"/>
    <w:qFormat/>
    <w:uiPriority w:val="9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等线" w:hAnsi="等线"/>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BEBEBE" w:fill="BEBEBE"/>
      </w:tcPr>
    </w:tblStylePr>
    <w:tblStylePr w:type="band1Horz">
      <w:rPr>
        <w:rFonts w:ascii="等线" w:hAnsi="等线"/>
        <w:color w:val="404040"/>
        <w:sz w:val="22"/>
      </w:rPr>
      <w:tcPr>
        <w:shd w:val="clear" w:color="BEBEBE" w:fill="BEBEBE"/>
      </w:tcPr>
    </w:tblStylePr>
  </w:style>
  <w:style w:type="table" w:customStyle="1" w:styleId="115">
    <w:name w:val="List Table 5 Dark"/>
    <w:basedOn w:val="53"/>
    <w:qFormat/>
    <w:uiPriority w:val="99"/>
    <w:pPr>
      <w:spacing w:after="0" w:line="240" w:lineRule="auto"/>
    </w:pPr>
    <w:tblPr>
      <w:tblBorders>
        <w:top w:val="single" w:color="7E7E7E" w:sz="32" w:space="0"/>
        <w:left w:val="single" w:color="7E7E7E" w:sz="32" w:space="0"/>
        <w:bottom w:val="single" w:color="7E7E7E" w:sz="32" w:space="0"/>
        <w:right w:val="single" w:color="7E7E7E" w:sz="32" w:space="0"/>
      </w:tblBorders>
    </w:tblPr>
    <w:tblStylePr w:type="firstRow">
      <w:rPr>
        <w:rFonts w:ascii="等线" w:hAnsi="等线"/>
        <w:b/>
        <w:color w:val="FFFFFF"/>
        <w:sz w:val="22"/>
      </w:rPr>
      <w:tcPr>
        <w:tcBorders>
          <w:top w:val="single" w:color="7E7E7E" w:sz="32" w:space="0"/>
          <w:left w:val="nil"/>
          <w:bottom w:val="single" w:color="FFFFFF" w:sz="12" w:space="0"/>
          <w:right w:val="nil"/>
          <w:insideH w:val="nil"/>
          <w:insideV w:val="nil"/>
          <w:tl2br w:val="nil"/>
          <w:tr2bl w:val="nil"/>
        </w:tcBorders>
        <w:shd w:val="clear" w:color="7E7E7E" w:fill="7E7E7E"/>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7E7E7E"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7E7E7E"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7E7E7E" w:fill="7E7E7E"/>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7E7E7E" w:fill="7E7E7E"/>
      </w:tcPr>
    </w:tblStylePr>
    <w:tblStylePr w:type="band2Horz">
      <w:tcPr>
        <w:tcBorders>
          <w:top w:val="single" w:color="FFFFFF" w:sz="4" w:space="0"/>
          <w:left w:val="nil"/>
          <w:bottom w:val="single" w:color="FFFFFF" w:sz="4" w:space="0"/>
          <w:right w:val="nil"/>
          <w:insideH w:val="nil"/>
          <w:insideV w:val="nil"/>
          <w:tl2br w:val="nil"/>
          <w:tr2bl w:val="nil"/>
        </w:tcBorders>
        <w:shd w:val="clear" w:color="7E7E7E" w:fill="7E7E7E"/>
      </w:tcPr>
    </w:tblStylePr>
  </w:style>
  <w:style w:type="table" w:customStyle="1" w:styleId="116">
    <w:name w:val="List Table 6 Colorful"/>
    <w:basedOn w:val="53"/>
    <w:qFormat/>
    <w:uiPriority w:val="99"/>
    <w:pPr>
      <w:spacing w:after="0" w:line="240" w:lineRule="auto"/>
    </w:pPr>
    <w:tblPr>
      <w:tblBorders>
        <w:top w:val="single" w:color="7E7E7E" w:sz="4" w:space="0"/>
        <w:bottom w:val="single" w:color="7E7E7E" w:sz="4" w:space="0"/>
      </w:tblBorders>
    </w:tblPr>
    <w:tblStylePr w:type="firstRow">
      <w:rPr>
        <w:b/>
        <w:color w:val="000000"/>
      </w:rPr>
      <w:tcPr>
        <w:tcBorders>
          <w:top w:val="nil"/>
          <w:left w:val="nil"/>
          <w:bottom w:val="single" w:color="7E7E7E" w:sz="4" w:space="0"/>
          <w:right w:val="nil"/>
          <w:insideH w:val="nil"/>
          <w:insideV w:val="nil"/>
          <w:tl2br w:val="nil"/>
          <w:tr2bl w:val="nil"/>
        </w:tcBorders>
      </w:tcPr>
    </w:tblStylePr>
    <w:tblStylePr w:type="lastRow">
      <w:rPr>
        <w:b/>
        <w:color w:val="000000"/>
      </w:rPr>
      <w:tcPr>
        <w:tcBorders>
          <w:top w:val="single" w:color="7E7E7E" w:sz="4" w:space="0"/>
          <w:left w:val="nil"/>
          <w:bottom w:val="nil"/>
          <w:right w:val="nil"/>
          <w:insideH w:val="nil"/>
          <w:insideV w:val="nil"/>
          <w:tl2br w:val="nil"/>
          <w:tr2bl w:val="nil"/>
        </w:tcBorders>
      </w:tcPr>
    </w:tblStylePr>
    <w:tblStylePr w:type="firstCol">
      <w:rPr>
        <w:b/>
        <w:color w:val="000000"/>
      </w:rPr>
    </w:tblStylePr>
    <w:tblStylePr w:type="lastCol">
      <w:rPr>
        <w:b/>
        <w:color w:val="000000"/>
      </w:rPr>
    </w:tblStylePr>
    <w:tblStylePr w:type="band1Vert">
      <w:tcPr>
        <w:shd w:val="clear" w:color="BEBEBE" w:fill="BEBEBE"/>
      </w:tcPr>
    </w:tblStylePr>
    <w:tblStylePr w:type="band1Horz">
      <w:rPr>
        <w:rFonts w:ascii="等线" w:hAnsi="等线"/>
        <w:color w:val="000000"/>
        <w:sz w:val="22"/>
      </w:rPr>
      <w:tcPr>
        <w:shd w:val="clear" w:color="BEBEBE" w:fill="BEBEBE"/>
      </w:tcPr>
    </w:tblStylePr>
    <w:tblStylePr w:type="band2Horz">
      <w:rPr>
        <w:rFonts w:ascii="等线" w:hAnsi="等线"/>
        <w:color w:val="000000"/>
        <w:sz w:val="22"/>
      </w:rPr>
    </w:tblStylePr>
  </w:style>
  <w:style w:type="table" w:customStyle="1" w:styleId="117">
    <w:name w:val="List Table 7 Colorful"/>
    <w:basedOn w:val="53"/>
    <w:qFormat/>
    <w:uiPriority w:val="99"/>
    <w:pPr>
      <w:spacing w:after="0" w:line="240" w:lineRule="auto"/>
    </w:pPr>
    <w:tblPr>
      <w:tblBorders>
        <w:right w:val="single" w:color="7E7E7E" w:sz="4" w:space="0"/>
      </w:tblBorders>
    </w:tblPr>
    <w:tblStylePr w:type="firstRow">
      <w:rPr>
        <w:rFonts w:ascii="等线" w:hAnsi="等线"/>
        <w:i/>
        <w:color w:val="7F7F7F"/>
        <w:sz w:val="22"/>
      </w:rPr>
      <w:tcPr>
        <w:tcBorders>
          <w:top w:val="nil"/>
          <w:left w:val="nil"/>
          <w:bottom w:val="single" w:color="7E7E7E" w:sz="4" w:space="0"/>
          <w:right w:val="nil"/>
          <w:insideH w:val="nil"/>
          <w:insideV w:val="nil"/>
          <w:tl2br w:val="nil"/>
          <w:tr2bl w:val="nil"/>
        </w:tcBorders>
        <w:shd w:val="clear" w:color="FFFFFF" w:fill="FFFFFF"/>
      </w:tcPr>
    </w:tblStylePr>
    <w:tblStylePr w:type="lastRow">
      <w:rPr>
        <w:rFonts w:ascii="等线" w:hAnsi="等线"/>
        <w:i/>
        <w:color w:val="7F7F7F"/>
        <w:sz w:val="22"/>
      </w:rPr>
      <w:tcPr>
        <w:tcBorders>
          <w:top w:val="single" w:color="7E7E7E"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7F7F7F"/>
        <w:sz w:val="22"/>
      </w:rPr>
      <w:tcPr>
        <w:tcBorders>
          <w:top w:val="nil"/>
          <w:left w:val="nil"/>
          <w:bottom w:val="nil"/>
          <w:right w:val="single" w:color="7E7E7E" w:sz="4" w:space="0"/>
          <w:insideH w:val="nil"/>
          <w:insideV w:val="nil"/>
          <w:tl2br w:val="nil"/>
          <w:tr2bl w:val="nil"/>
        </w:tcBorders>
        <w:shd w:val="clear" w:color="FFFFFF" w:fill="auto"/>
      </w:tcPr>
    </w:tblStylePr>
    <w:tblStylePr w:type="lastCol">
      <w:rPr>
        <w:rFonts w:ascii="等线" w:hAnsi="等线"/>
        <w:i/>
        <w:color w:val="7F7F7F"/>
        <w:sz w:val="22"/>
      </w:rPr>
      <w:tcPr>
        <w:tcBorders>
          <w:top w:val="nil"/>
          <w:left w:val="single" w:color="7E7E7E" w:sz="4" w:space="0"/>
          <w:bottom w:val="nil"/>
          <w:right w:val="nil"/>
          <w:insideH w:val="nil"/>
          <w:insideV w:val="nil"/>
          <w:tl2br w:val="nil"/>
          <w:tr2bl w:val="nil"/>
        </w:tcBorders>
        <w:shd w:val="clear" w:color="FFFFFF" w:fill="auto"/>
      </w:tcPr>
    </w:tblStylePr>
    <w:tblStylePr w:type="band1Vert">
      <w:tcPr>
        <w:shd w:val="clear" w:color="BEBEBE" w:fill="BEBEBE"/>
      </w:tcPr>
    </w:tblStylePr>
    <w:tblStylePr w:type="band1Horz">
      <w:rPr>
        <w:rFonts w:ascii="等线" w:hAnsi="等线"/>
        <w:color w:val="7F7F7F"/>
        <w:sz w:val="22"/>
      </w:rPr>
      <w:tcPr>
        <w:shd w:val="clear" w:color="BEBEBE" w:fill="BEBEBE"/>
      </w:tcPr>
    </w:tblStylePr>
    <w:tblStylePr w:type="band2Horz">
      <w:rPr>
        <w:rFonts w:ascii="等线" w:hAnsi="等线"/>
        <w:color w:val="7F7F7F"/>
        <w:sz w:val="22"/>
      </w:rPr>
    </w:tblStylePr>
  </w:style>
  <w:style w:type="paragraph" w:customStyle="1" w:styleId="118">
    <w:name w:val="TOC Heading"/>
    <w:unhideWhenUsed/>
    <w:qFormat/>
    <w:uiPriority w:val="39"/>
    <w:rPr>
      <w:rFonts w:ascii="Times New Roman" w:hAnsi="Times New Roman" w:eastAsia="宋体" w:cs="Times New Roman"/>
      <w:lang w:val="en-US" w:eastAsia="zh-CN" w:bidi="ar-SA"/>
    </w:rPr>
  </w:style>
  <w:style w:type="table" w:customStyle="1" w:styleId="119">
    <w:name w:val="无格式表格 11"/>
    <w:basedOn w:val="53"/>
    <w:qFormat/>
    <w:uiPriority w:val="59"/>
    <w:tblPr>
      <w:tblBorders>
        <w:top w:val="single" w:color="AEAEAE" w:sz="4" w:space="0"/>
        <w:left w:val="single" w:color="AEAEAE" w:sz="4" w:space="0"/>
        <w:bottom w:val="single" w:color="AEAEAE" w:sz="4" w:space="0"/>
        <w:right w:val="single" w:color="AEAEAE" w:sz="4" w:space="0"/>
        <w:insideH w:val="single" w:color="AEAEAE" w:sz="4" w:space="0"/>
        <w:insideV w:val="single" w:color="AEAEAE" w:sz="4" w:space="0"/>
      </w:tblBorders>
    </w:tblPr>
    <w:tblStylePr w:type="firstRow">
      <w:rPr>
        <w:rFonts w:ascii="等线" w:hAnsi="等线"/>
        <w:b/>
        <w:color w:val="404040"/>
        <w:sz w:val="22"/>
      </w:rPr>
    </w:tblStylePr>
    <w:tblStylePr w:type="lastRow">
      <w:rPr>
        <w:rFonts w:ascii="等线" w:hAnsi="等线"/>
        <w:b/>
        <w:color w:val="404040"/>
        <w:sz w:val="22"/>
      </w:rPr>
    </w:tblStylePr>
    <w:tblStylePr w:type="firstCol">
      <w:rPr>
        <w:rFonts w:ascii="等线" w:hAnsi="等线"/>
        <w:b/>
        <w:color w:val="404040"/>
        <w:sz w:val="22"/>
      </w:rPr>
    </w:tblStylePr>
    <w:tblStylePr w:type="lastCol">
      <w:rPr>
        <w:rFonts w:ascii="等线" w:hAnsi="等线"/>
        <w:b/>
        <w:color w:val="404040"/>
        <w:sz w:val="22"/>
      </w:rPr>
    </w:tblStylePr>
    <w:tblStylePr w:type="band1Vert">
      <w:tcPr>
        <w:shd w:val="clear" w:color="F1F1F1" w:fill="F1F1F1"/>
      </w:tcPr>
    </w:tblStylePr>
    <w:tblStylePr w:type="band1Horz">
      <w:tcPr>
        <w:shd w:val="clear" w:color="F1F1F1" w:fill="F1F1F1"/>
      </w:tcPr>
    </w:tblStylePr>
  </w:style>
  <w:style w:type="table" w:customStyle="1" w:styleId="120">
    <w:name w:val="无格式表格 21"/>
    <w:basedOn w:val="53"/>
    <w:qFormat/>
    <w:uiPriority w:val="59"/>
    <w:tblPr>
      <w:tblBorders>
        <w:top w:val="single" w:color="000000" w:sz="4" w:space="0"/>
        <w:left w:val="none" w:color="000000" w:sz="4" w:space="0"/>
        <w:bottom w:val="single" w:color="000000" w:sz="4" w:space="0"/>
        <w:right w:val="none" w:color="000000" w:sz="4" w:space="0"/>
      </w:tblBorders>
    </w:tblPr>
    <w:tblStylePr w:type="firstRow">
      <w:rPr>
        <w:rFonts w:ascii="等线" w:hAnsi="等线"/>
        <w:b/>
        <w:color w:val="404040"/>
        <w:sz w:val="22"/>
      </w:rPr>
      <w:tcPr>
        <w:tcBorders>
          <w:top w:val="single" w:color="000000" w:sz="4" w:space="0"/>
          <w:left w:val="nil"/>
          <w:bottom w:val="single" w:color="000000" w:sz="4" w:space="0"/>
          <w:right w:val="nil"/>
          <w:insideH w:val="nil"/>
          <w:insideV w:val="nil"/>
          <w:tl2br w:val="nil"/>
          <w:tr2bl w:val="nil"/>
        </w:tcBorders>
      </w:tcPr>
    </w:tblStylePr>
    <w:tblStylePr w:type="lastRow">
      <w:rPr>
        <w:rFonts w:ascii="等线" w:hAnsi="等线"/>
        <w:b/>
        <w:color w:val="404040"/>
        <w:sz w:val="22"/>
      </w:rPr>
    </w:tblStylePr>
    <w:tblStylePr w:type="firstCol">
      <w:rPr>
        <w:rFonts w:ascii="等线" w:hAnsi="等线"/>
        <w:b/>
        <w:color w:val="404040"/>
        <w:sz w:val="22"/>
      </w:rPr>
    </w:tblStylePr>
    <w:tblStylePr w:type="lastCol">
      <w:rPr>
        <w:rFonts w:ascii="等线" w:hAnsi="等线"/>
        <w:b/>
        <w:color w:val="404040"/>
        <w:sz w:val="22"/>
      </w:rPr>
    </w:tblStylePr>
    <w:tblStylePr w:type="band1Vert">
      <w:tcPr>
        <w:tcBorders>
          <w:top w:val="nil"/>
          <w:left w:val="single" w:color="000000" w:sz="4" w:space="0"/>
          <w:bottom w:val="nil"/>
          <w:right w:val="single" w:color="000000" w:sz="4" w:space="0"/>
          <w:insideH w:val="nil"/>
          <w:insideV w:val="nil"/>
          <w:tl2br w:val="nil"/>
          <w:tr2bl w:val="nil"/>
        </w:tcBorders>
      </w:tcPr>
    </w:tblStylePr>
    <w:tblStylePr w:type="band2Vert">
      <w:tcPr>
        <w:tcBorders>
          <w:top w:val="nil"/>
          <w:left w:val="single" w:color="000000" w:sz="4" w:space="0"/>
          <w:bottom w:val="nil"/>
          <w:right w:val="single" w:color="000000" w:sz="4" w:space="0"/>
          <w:insideH w:val="nil"/>
          <w:insideV w:val="nil"/>
          <w:tl2br w:val="nil"/>
          <w:tr2bl w:val="nil"/>
        </w:tcBorders>
      </w:tcPr>
    </w:tblStylePr>
    <w:tblStylePr w:type="band1Horz">
      <w:tcPr>
        <w:tcBorders>
          <w:top w:val="single" w:color="000000" w:sz="4" w:space="0"/>
          <w:left w:val="nil"/>
          <w:bottom w:val="single" w:color="000000" w:sz="4" w:space="0"/>
          <w:right w:val="nil"/>
          <w:insideH w:val="nil"/>
          <w:insideV w:val="nil"/>
          <w:tl2br w:val="nil"/>
          <w:tr2bl w:val="nil"/>
        </w:tcBorders>
      </w:tcPr>
    </w:tblStylePr>
  </w:style>
  <w:style w:type="table" w:customStyle="1" w:styleId="121">
    <w:name w:val="无格式表格 31"/>
    <w:basedOn w:val="53"/>
    <w:qFormat/>
    <w:uiPriority w:val="99"/>
    <w:tblStylePr w:type="firstRow">
      <w:rPr>
        <w:b/>
        <w:caps/>
        <w:color w:val="404040"/>
      </w:rPr>
      <w:tcPr>
        <w:tcBorders>
          <w:top w:val="nil"/>
          <w:left w:val="nil"/>
          <w:bottom w:val="single" w:color="404040" w:sz="4" w:space="0"/>
          <w:right w:val="nil"/>
          <w:insideH w:val="nil"/>
          <w:insideV w:val="nil"/>
          <w:tl2br w:val="nil"/>
          <w:tr2bl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insideH w:val="nil"/>
          <w:insideV w:val="nil"/>
          <w:tl2br w:val="nil"/>
          <w:tr2bl w:val="nil"/>
        </w:tcBorders>
      </w:tcPr>
    </w:tblStylePr>
    <w:tblStylePr w:type="lastCol">
      <w:rPr>
        <w:b/>
        <w:caps/>
        <w:color w:val="404040"/>
      </w:r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22">
    <w:name w:val="无格式表格 41"/>
    <w:basedOn w:val="53"/>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23">
    <w:name w:val="无格式表格 51"/>
    <w:basedOn w:val="53"/>
    <w:qFormat/>
    <w:uiPriority w:val="99"/>
    <w:tblStylePr w:type="firstRow">
      <w:rPr>
        <w:i/>
        <w:color w:val="404040"/>
      </w:rPr>
      <w:tcPr>
        <w:tcBorders>
          <w:top w:val="nil"/>
          <w:left w:val="nil"/>
          <w:bottom w:val="single" w:color="404040" w:sz="4" w:space="0"/>
          <w:right w:val="nil"/>
          <w:insideH w:val="nil"/>
          <w:insideV w:val="nil"/>
          <w:tl2br w:val="nil"/>
          <w:tr2bl w:val="nil"/>
        </w:tcBorders>
        <w:shd w:val="clear" w:color="FFFFFF" w:fill="auto"/>
      </w:tcPr>
    </w:tblStylePr>
    <w:tblStylePr w:type="lastRow">
      <w:rPr>
        <w:i/>
        <w:color w:val="404040"/>
      </w:rPr>
      <w:tcPr>
        <w:tcBorders>
          <w:top w:val="single" w:color="404040" w:sz="4" w:space="0"/>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single" w:color="404040" w:sz="4" w:space="0"/>
          <w:insideH w:val="nil"/>
          <w:insideV w:val="nil"/>
          <w:tl2br w:val="nil"/>
          <w:tr2bl w:val="nil"/>
        </w:tcBorders>
        <w:shd w:val="clear" w:color="FFFFFF" w:fill="auto"/>
      </w:tcPr>
    </w:tblStylePr>
    <w:tblStylePr w:type="lastCol">
      <w:rPr>
        <w:i/>
        <w:color w:val="404040"/>
      </w:rPr>
      <w:tcPr>
        <w:tcBorders>
          <w:top w:val="nil"/>
          <w:left w:val="single" w:color="404040" w:sz="4" w:space="0"/>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F1F1F1" w:fill="F1F1F1"/>
      </w:tcPr>
    </w:tblStylePr>
    <w:tblStylePr w:type="band1Horz">
      <w:rPr>
        <w:rFonts w:ascii="等线" w:hAnsi="等线"/>
        <w:color w:val="404040"/>
        <w:sz w:val="22"/>
      </w:rPr>
      <w:tcPr>
        <w:shd w:val="clear" w:color="F1F1F1" w:fill="F1F1F1"/>
      </w:tcPr>
    </w:tblStylePr>
  </w:style>
  <w:style w:type="table" w:customStyle="1" w:styleId="124">
    <w:name w:val="网格表 1 浅色1"/>
    <w:basedOn w:val="53"/>
    <w:qFormat/>
    <w:uiPriority w:val="99"/>
    <w:tblPr>
      <w:tblBorders>
        <w:top w:val="single" w:color="979797" w:sz="4" w:space="0"/>
        <w:left w:val="single" w:color="979797" w:sz="4" w:space="0"/>
        <w:bottom w:val="single" w:color="979797" w:sz="4" w:space="0"/>
        <w:right w:val="single" w:color="979797" w:sz="4" w:space="0"/>
        <w:insideH w:val="single" w:color="979797" w:sz="4" w:space="0"/>
        <w:insideV w:val="single" w:color="979797" w:sz="4" w:space="0"/>
      </w:tblBorders>
    </w:tblPr>
    <w:tblStylePr w:type="firstRow">
      <w:rPr>
        <w:b/>
        <w:color w:val="404040"/>
      </w:rPr>
      <w:tcPr>
        <w:tcBorders>
          <w:top w:val="nil"/>
          <w:left w:val="nil"/>
          <w:bottom w:val="single" w:color="696969"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979797" w:sz="4" w:space="0"/>
          <w:left w:val="single" w:color="979797" w:sz="4" w:space="0"/>
          <w:bottom w:val="single" w:color="979797" w:sz="4" w:space="0"/>
          <w:right w:val="single" w:color="979797" w:sz="4" w:space="0"/>
          <w:insideH w:val="nil"/>
          <w:insideV w:val="nil"/>
          <w:tl2br w:val="nil"/>
          <w:tr2bl w:val="nil"/>
        </w:tcBorders>
      </w:tcPr>
    </w:tblStylePr>
  </w:style>
  <w:style w:type="table" w:customStyle="1" w:styleId="125">
    <w:name w:val="网格表 21"/>
    <w:basedOn w:val="53"/>
    <w:qFormat/>
    <w:uiPriority w:val="99"/>
    <w:tblPr>
      <w:tblBorders>
        <w:bottom w:val="single" w:color="696969" w:sz="4" w:space="0"/>
        <w:insideH w:val="single" w:color="696969" w:sz="4" w:space="0"/>
        <w:insideV w:val="single" w:color="696969" w:sz="4" w:space="0"/>
      </w:tblBorders>
    </w:tblPr>
    <w:tblStylePr w:type="firstRow">
      <w:rPr>
        <w:b/>
        <w:color w:val="404040"/>
      </w:rPr>
      <w:tcPr>
        <w:tcBorders>
          <w:top w:val="nil"/>
          <w:left w:val="nil"/>
          <w:bottom w:val="single" w:color="696969" w:sz="12" w:space="0"/>
          <w:right w:val="nil"/>
          <w:insideH w:val="nil"/>
          <w:insideV w:val="nil"/>
          <w:tl2br w:val="nil"/>
          <w:tr2bl w:val="nil"/>
        </w:tcBorders>
        <w:shd w:val="clear" w:color="FFFFFF" w:fill="auto"/>
      </w:tcPr>
    </w:tblStylePr>
    <w:tblStylePr w:type="lastRow">
      <w:rPr>
        <w:b/>
        <w:color w:val="404040"/>
      </w:rPr>
      <w:tcPr>
        <w:tcBorders>
          <w:top w:val="single" w:color="696969"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26">
    <w:name w:val="网格表 31"/>
    <w:basedOn w:val="53"/>
    <w:qFormat/>
    <w:uiPriority w:val="99"/>
    <w:tblPr>
      <w:tblBorders>
        <w:bottom w:val="single" w:color="696969" w:sz="4" w:space="0"/>
        <w:insideH w:val="single" w:color="696969" w:sz="4" w:space="0"/>
        <w:insideV w:val="single" w:color="696969"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27">
    <w:name w:val="网格表 41"/>
    <w:basedOn w:val="53"/>
    <w:qFormat/>
    <w:uiPriority w:val="59"/>
    <w:tblPr>
      <w:tblBorders>
        <w:top w:val="single" w:color="6E6E6E" w:sz="4" w:space="0"/>
        <w:left w:val="single" w:color="6E6E6E" w:sz="4" w:space="0"/>
        <w:bottom w:val="single" w:color="6E6E6E" w:sz="4" w:space="0"/>
        <w:right w:val="single" w:color="6E6E6E" w:sz="4" w:space="0"/>
        <w:insideH w:val="single" w:color="6E6E6E" w:sz="4" w:space="0"/>
        <w:insideV w:val="single" w:color="6E6E6E" w:sz="4" w:space="0"/>
      </w:tblBorders>
    </w:tblPr>
    <w:tblStylePr w:type="firstRow">
      <w:rPr>
        <w:rFonts w:ascii="等线" w:hAnsi="等线"/>
        <w:b/>
        <w:color w:val="FFFFFF"/>
        <w:sz w:val="22"/>
      </w:r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000000" w:fill="000000"/>
      </w:tcPr>
    </w:tblStylePr>
    <w:tblStylePr w:type="lastRow">
      <w:rPr>
        <w:b/>
        <w:color w:val="404040"/>
      </w:rPr>
      <w:tcPr>
        <w:tcBorders>
          <w:top w:val="single" w:color="000000"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CACACA" w:fill="CACACA"/>
      </w:tcPr>
    </w:tblStylePr>
    <w:tblStylePr w:type="band1Horz">
      <w:rPr>
        <w:rFonts w:ascii="等线" w:hAnsi="等线"/>
        <w:color w:val="404040"/>
        <w:sz w:val="22"/>
      </w:rPr>
      <w:tcPr>
        <w:shd w:val="clear" w:color="CACACA" w:fill="CACACA"/>
      </w:tcPr>
    </w:tblStylePr>
  </w:style>
  <w:style w:type="table" w:customStyle="1" w:styleId="128">
    <w:name w:val="网格表 5 深色1"/>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000000" w:fill="000000"/>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000000" w:fill="000000"/>
      </w:tcPr>
    </w:tblStylePr>
    <w:tblStylePr w:type="firstCol">
      <w:rPr>
        <w:rFonts w:ascii="等线" w:hAnsi="等线"/>
        <w:b/>
        <w:color w:val="FFFFFF"/>
        <w:sz w:val="22"/>
      </w:rPr>
      <w:tcPr>
        <w:shd w:val="clear" w:color="000000" w:fill="000000"/>
      </w:tcPr>
    </w:tblStylePr>
    <w:tblStylePr w:type="lastCol">
      <w:rPr>
        <w:rFonts w:ascii="等线" w:hAnsi="等线"/>
        <w:b/>
        <w:color w:val="FFFFFF"/>
        <w:sz w:val="22"/>
      </w:rPr>
      <w:tcPr>
        <w:shd w:val="clear" w:color="000000" w:fill="000000"/>
      </w:tcPr>
    </w:tblStylePr>
    <w:tblStylePr w:type="band1Vert">
      <w:tcPr>
        <w:shd w:val="clear" w:color="898989" w:fill="898989"/>
      </w:tcPr>
    </w:tblStylePr>
    <w:tblStylePr w:type="band1Horz">
      <w:tcPr>
        <w:shd w:val="clear" w:color="898989" w:fill="898989"/>
      </w:tcPr>
    </w:tblStylePr>
  </w:style>
  <w:style w:type="table" w:customStyle="1" w:styleId="129">
    <w:name w:val="网格表 6 彩色1"/>
    <w:basedOn w:val="53"/>
    <w:qFormat/>
    <w:uiPriority w:val="99"/>
    <w:tblPr>
      <w:tblBorders>
        <w:top w:val="single" w:color="7E7E7E" w:sz="4" w:space="0"/>
        <w:left w:val="single" w:color="7E7E7E" w:sz="4" w:space="0"/>
        <w:bottom w:val="single" w:color="7E7E7E" w:sz="4" w:space="0"/>
        <w:right w:val="single" w:color="7E7E7E" w:sz="4" w:space="0"/>
        <w:insideH w:val="single" w:color="7E7E7E" w:sz="4" w:space="0"/>
        <w:insideV w:val="single" w:color="7E7E7E" w:sz="4" w:space="0"/>
      </w:tblBorders>
    </w:tblPr>
    <w:tblStylePr w:type="firstRow">
      <w:rPr>
        <w:b/>
        <w:color w:val="7F7F7F"/>
      </w:rPr>
      <w:tcPr>
        <w:tcBorders>
          <w:top w:val="nil"/>
          <w:left w:val="nil"/>
          <w:bottom w:val="single" w:color="7E7E7E" w:sz="12" w:space="0"/>
          <w:right w:val="nil"/>
          <w:insideH w:val="nil"/>
          <w:insideV w:val="nil"/>
          <w:tl2br w:val="nil"/>
          <w:tr2bl w:val="nil"/>
        </w:tcBorders>
      </w:tcPr>
    </w:tblStylePr>
    <w:tblStylePr w:type="lastRow">
      <w:rPr>
        <w:b/>
        <w:color w:val="7F7F7F"/>
      </w:rPr>
    </w:tblStylePr>
    <w:tblStylePr w:type="firstCol">
      <w:rPr>
        <w:b/>
        <w:color w:val="7F7F7F"/>
      </w:rPr>
    </w:tblStylePr>
    <w:tblStylePr w:type="lastCol">
      <w:rPr>
        <w:b/>
        <w:color w:val="7F7F7F"/>
      </w:rPr>
    </w:tblStylePr>
    <w:tblStylePr w:type="band1Vert">
      <w:tcPr>
        <w:shd w:val="clear" w:color="CACACA" w:fill="CACACA"/>
      </w:tcPr>
    </w:tblStylePr>
    <w:tblStylePr w:type="band1Horz">
      <w:rPr>
        <w:rFonts w:ascii="等线" w:hAnsi="等线"/>
        <w:color w:val="7F7F7F"/>
        <w:sz w:val="22"/>
      </w:rPr>
      <w:tcPr>
        <w:shd w:val="clear" w:color="CACACA" w:fill="CACACA"/>
      </w:tcPr>
    </w:tblStylePr>
    <w:tblStylePr w:type="band2Horz">
      <w:rPr>
        <w:rFonts w:ascii="等线" w:hAnsi="等线"/>
        <w:color w:val="7F7F7F"/>
        <w:sz w:val="22"/>
      </w:rPr>
    </w:tblStylePr>
  </w:style>
  <w:style w:type="table" w:customStyle="1" w:styleId="130">
    <w:name w:val="网格表 7 彩色1"/>
    <w:basedOn w:val="53"/>
    <w:qFormat/>
    <w:uiPriority w:val="99"/>
    <w:tblPr>
      <w:tblBorders>
        <w:bottom w:val="single" w:color="7E7E7E" w:sz="4" w:space="0"/>
        <w:right w:val="single" w:color="7E7E7E" w:sz="4" w:space="0"/>
        <w:insideH w:val="single" w:color="7E7E7E" w:sz="4" w:space="0"/>
        <w:insideV w:val="single" w:color="7E7E7E" w:sz="4" w:space="0"/>
      </w:tblBorders>
    </w:tblPr>
    <w:tblStylePr w:type="firstRow">
      <w:rPr>
        <w:rFonts w:ascii="等线" w:hAnsi="等线"/>
        <w:b/>
        <w:color w:val="7F7F7F"/>
        <w:sz w:val="22"/>
      </w:rPr>
      <w:tcPr>
        <w:tcBorders>
          <w:top w:val="nil"/>
          <w:left w:val="nil"/>
          <w:bottom w:val="single" w:color="7E7E7E" w:sz="4" w:space="0"/>
          <w:right w:val="nil"/>
          <w:insideH w:val="nil"/>
          <w:insideV w:val="nil"/>
          <w:tl2br w:val="nil"/>
          <w:tr2bl w:val="nil"/>
        </w:tcBorders>
        <w:shd w:val="clear" w:color="FFFFFF" w:fill="FFFFFF"/>
      </w:tcPr>
    </w:tblStylePr>
    <w:tblStylePr w:type="lastRow">
      <w:rPr>
        <w:rFonts w:ascii="等线" w:hAnsi="等线"/>
        <w:b/>
        <w:color w:val="7F7F7F"/>
        <w:sz w:val="22"/>
      </w:rPr>
      <w:tcPr>
        <w:tcBorders>
          <w:top w:val="single" w:color="7E7E7E"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7F7F7F"/>
        <w:sz w:val="22"/>
      </w:rPr>
      <w:tcPr>
        <w:tcBorders>
          <w:top w:val="nil"/>
          <w:left w:val="nil"/>
          <w:bottom w:val="nil"/>
          <w:right w:val="single" w:color="7E7E7E" w:sz="4" w:space="0"/>
          <w:insideH w:val="nil"/>
          <w:insideV w:val="nil"/>
          <w:tl2br w:val="nil"/>
          <w:tr2bl w:val="nil"/>
        </w:tcBorders>
        <w:shd w:val="clear" w:color="FFFFFF" w:fill="auto"/>
      </w:tcPr>
    </w:tblStylePr>
    <w:tblStylePr w:type="lastCol">
      <w:rPr>
        <w:rFonts w:ascii="等线" w:hAnsi="等线"/>
        <w:i/>
        <w:color w:val="7F7F7F"/>
        <w:sz w:val="22"/>
      </w:rPr>
      <w:tcPr>
        <w:tcBorders>
          <w:top w:val="nil"/>
          <w:left w:val="single" w:color="7E7E7E" w:sz="4" w:space="0"/>
          <w:bottom w:val="nil"/>
          <w:right w:val="nil"/>
          <w:insideH w:val="nil"/>
          <w:insideV w:val="nil"/>
          <w:tl2br w:val="nil"/>
          <w:tr2bl w:val="nil"/>
        </w:tcBorders>
        <w:shd w:val="clear" w:color="FFFFFF" w:fill="auto"/>
      </w:tcPr>
    </w:tblStylePr>
    <w:tblStylePr w:type="band1Vert">
      <w:tcPr>
        <w:shd w:val="clear" w:color="F1F1F1" w:fill="F1F1F1"/>
      </w:tcPr>
    </w:tblStylePr>
    <w:tblStylePr w:type="band1Horz">
      <w:rPr>
        <w:rFonts w:ascii="等线" w:hAnsi="等线"/>
        <w:color w:val="7F7F7F"/>
        <w:sz w:val="22"/>
      </w:rPr>
      <w:tcPr>
        <w:shd w:val="clear" w:color="F1F1F1" w:fill="F1F1F1"/>
      </w:tcPr>
    </w:tblStylePr>
    <w:tblStylePr w:type="band2Horz">
      <w:rPr>
        <w:rFonts w:ascii="等线" w:hAnsi="等线"/>
        <w:color w:val="7F7F7F"/>
        <w:sz w:val="22"/>
      </w:rPr>
    </w:tblStylePr>
  </w:style>
  <w:style w:type="table" w:customStyle="1" w:styleId="131">
    <w:name w:val="清单表 1 浅色1"/>
    <w:basedOn w:val="53"/>
    <w:qFormat/>
    <w:uiPriority w:val="99"/>
    <w:tblStylePr w:type="firstRow">
      <w:rPr>
        <w:b/>
        <w:color w:val="404040"/>
      </w:rPr>
      <w:tcPr>
        <w:tcBorders>
          <w:top w:val="nil"/>
          <w:left w:val="nil"/>
          <w:bottom w:val="single" w:color="000000" w:sz="4" w:space="0"/>
          <w:right w:val="nil"/>
          <w:insideH w:val="nil"/>
          <w:insideV w:val="nil"/>
          <w:tl2br w:val="nil"/>
          <w:tr2bl w:val="nil"/>
        </w:tcBorders>
      </w:tcPr>
    </w:tblStylePr>
    <w:tblStylePr w:type="lastRow">
      <w:rPr>
        <w:b/>
        <w:color w:val="404040"/>
      </w:rPr>
      <w:tcPr>
        <w:tcBorders>
          <w:top w:val="single" w:color="000000"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BEBEBE" w:fill="BEBEBE"/>
      </w:tcPr>
    </w:tblStylePr>
    <w:tblStylePr w:type="band1Horz">
      <w:tcPr>
        <w:shd w:val="clear" w:color="BEBEBE" w:fill="BEBEBE"/>
      </w:tcPr>
    </w:tblStylePr>
  </w:style>
  <w:style w:type="table" w:customStyle="1" w:styleId="132">
    <w:name w:val="清单表 21"/>
    <w:basedOn w:val="53"/>
    <w:qFormat/>
    <w:uiPriority w:val="99"/>
    <w:tblPr>
      <w:tblBorders>
        <w:top w:val="single" w:color="6E6E6E" w:sz="4" w:space="0"/>
        <w:bottom w:val="single" w:color="6E6E6E" w:sz="4" w:space="0"/>
        <w:insideH w:val="single" w:color="6E6E6E" w:sz="4" w:space="0"/>
      </w:tblBorders>
    </w:tblPr>
    <w:tblStylePr w:type="firstRow">
      <w:rPr>
        <w:rFonts w:ascii="等线" w:hAnsi="等线"/>
        <w:b/>
        <w:color w:val="404040"/>
        <w:sz w:val="22"/>
      </w:rPr>
      <w:tcPr>
        <w:tcBorders>
          <w:top w:val="single" w:color="6E6E6E" w:sz="4" w:space="0"/>
          <w:left w:val="nil"/>
          <w:bottom w:val="single" w:color="6E6E6E" w:sz="4" w:space="0"/>
          <w:right w:val="nil"/>
          <w:insideH w:val="nil"/>
          <w:insideV w:val="nil"/>
          <w:tl2br w:val="nil"/>
          <w:tr2bl w:val="nil"/>
        </w:tcBorders>
      </w:tcPr>
    </w:tblStylePr>
    <w:tblStylePr w:type="lastRow">
      <w:rPr>
        <w:rFonts w:ascii="等线" w:hAnsi="等线"/>
        <w:b/>
        <w:color w:val="404040"/>
        <w:sz w:val="22"/>
      </w:rPr>
      <w:tcPr>
        <w:tcBorders>
          <w:top w:val="single" w:color="6E6E6E" w:sz="4" w:space="0"/>
          <w:left w:val="nil"/>
          <w:bottom w:val="single" w:color="6E6E6E"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BEBEBE" w:fill="BEBEBE"/>
      </w:tcPr>
    </w:tblStylePr>
    <w:tblStylePr w:type="band1Horz">
      <w:rPr>
        <w:rFonts w:ascii="等线" w:hAnsi="等线"/>
        <w:color w:val="404040"/>
        <w:sz w:val="22"/>
      </w:rPr>
      <w:tcPr>
        <w:shd w:val="clear" w:color="BEBEBE" w:fill="BEBEBE"/>
      </w:tcPr>
    </w:tblStylePr>
  </w:style>
  <w:style w:type="table" w:customStyle="1" w:styleId="133">
    <w:name w:val="清单表 31"/>
    <w:basedOn w:val="53"/>
    <w:qFormat/>
    <w:uiPriority w:val="99"/>
    <w:tblPr>
      <w:tblBorders>
        <w:top w:val="single" w:color="000000" w:sz="4" w:space="0"/>
        <w:left w:val="single" w:color="000000" w:sz="4" w:space="0"/>
        <w:bottom w:val="single" w:color="000000" w:sz="4" w:space="0"/>
        <w:right w:val="single" w:color="000000" w:sz="4" w:space="0"/>
      </w:tblBorders>
    </w:tblPr>
    <w:tblStylePr w:type="firstRow">
      <w:rPr>
        <w:rFonts w:ascii="等线" w:hAnsi="等线"/>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000000" w:sz="4" w:space="0"/>
          <w:bottom w:val="nil"/>
          <w:right w:val="single" w:color="000000" w:sz="4" w:space="0"/>
          <w:insideH w:val="nil"/>
          <w:insideV w:val="nil"/>
          <w:tl2br w:val="nil"/>
          <w:tr2bl w:val="nil"/>
        </w:tcBorders>
      </w:tcPr>
    </w:tblStylePr>
    <w:tblStylePr w:type="band1Horz">
      <w:rPr>
        <w:rFonts w:ascii="等线" w:hAnsi="等线"/>
        <w:color w:val="404040"/>
        <w:sz w:val="22"/>
      </w:rPr>
      <w:tcPr>
        <w:tcBorders>
          <w:top w:val="single" w:color="000000" w:sz="4" w:space="0"/>
          <w:left w:val="nil"/>
          <w:bottom w:val="single" w:color="000000" w:sz="4" w:space="0"/>
          <w:right w:val="nil"/>
          <w:insideH w:val="nil"/>
          <w:insideV w:val="nil"/>
          <w:tl2br w:val="nil"/>
          <w:tr2bl w:val="nil"/>
        </w:tcBorders>
      </w:tcPr>
    </w:tblStylePr>
  </w:style>
  <w:style w:type="table" w:customStyle="1" w:styleId="134">
    <w:name w:val="清单表 41"/>
    <w:basedOn w:val="53"/>
    <w:qFormat/>
    <w:uiPriority w:val="99"/>
    <w:tblPr>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等线" w:hAnsi="等线"/>
        <w:b/>
        <w:color w:val="FFFFFF"/>
        <w:sz w:val="22"/>
      </w:r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BEBEBE" w:fill="BEBEBE"/>
      </w:tcPr>
    </w:tblStylePr>
    <w:tblStylePr w:type="band1Horz">
      <w:rPr>
        <w:rFonts w:ascii="等线" w:hAnsi="等线"/>
        <w:color w:val="404040"/>
        <w:sz w:val="22"/>
      </w:rPr>
      <w:tcPr>
        <w:shd w:val="clear" w:color="BEBEBE" w:fill="BEBEBE"/>
      </w:tcPr>
    </w:tblStylePr>
  </w:style>
  <w:style w:type="table" w:customStyle="1" w:styleId="135">
    <w:name w:val="清单表 5 深色1"/>
    <w:basedOn w:val="53"/>
    <w:qFormat/>
    <w:uiPriority w:val="99"/>
    <w:tblPr>
      <w:tblBorders>
        <w:top w:val="single" w:color="7E7E7E" w:sz="32" w:space="0"/>
        <w:left w:val="single" w:color="7E7E7E" w:sz="32" w:space="0"/>
        <w:bottom w:val="single" w:color="7E7E7E" w:sz="32" w:space="0"/>
        <w:right w:val="single" w:color="7E7E7E" w:sz="32" w:space="0"/>
      </w:tblBorders>
    </w:tblPr>
    <w:tblStylePr w:type="firstRow">
      <w:rPr>
        <w:rFonts w:ascii="等线" w:hAnsi="等线"/>
        <w:b/>
        <w:color w:val="FFFFFF"/>
        <w:sz w:val="22"/>
      </w:rPr>
      <w:tcPr>
        <w:tcBorders>
          <w:top w:val="single" w:color="7E7E7E" w:sz="32" w:space="0"/>
          <w:left w:val="nil"/>
          <w:bottom w:val="single" w:color="FFFFFF" w:sz="12" w:space="0"/>
          <w:right w:val="nil"/>
          <w:insideH w:val="nil"/>
          <w:insideV w:val="nil"/>
          <w:tl2br w:val="nil"/>
          <w:tr2bl w:val="nil"/>
        </w:tcBorders>
        <w:shd w:val="clear" w:color="7E7E7E" w:fill="7E7E7E"/>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7E7E7E"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7E7E7E"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7E7E7E" w:fill="7E7E7E"/>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7E7E7E" w:fill="7E7E7E"/>
      </w:tcPr>
    </w:tblStylePr>
    <w:tblStylePr w:type="band2Horz">
      <w:tcPr>
        <w:tcBorders>
          <w:top w:val="single" w:color="FFFFFF" w:sz="4" w:space="0"/>
          <w:left w:val="nil"/>
          <w:bottom w:val="single" w:color="FFFFFF" w:sz="4" w:space="0"/>
          <w:right w:val="nil"/>
          <w:insideH w:val="nil"/>
          <w:insideV w:val="nil"/>
          <w:tl2br w:val="nil"/>
          <w:tr2bl w:val="nil"/>
        </w:tcBorders>
        <w:shd w:val="clear" w:color="7E7E7E" w:fill="7E7E7E"/>
      </w:tcPr>
    </w:tblStylePr>
  </w:style>
  <w:style w:type="table" w:customStyle="1" w:styleId="136">
    <w:name w:val="清单表 6 彩色1"/>
    <w:basedOn w:val="53"/>
    <w:qFormat/>
    <w:uiPriority w:val="99"/>
    <w:tblPr>
      <w:tblBorders>
        <w:top w:val="single" w:color="7E7E7E" w:sz="4" w:space="0"/>
        <w:bottom w:val="single" w:color="7E7E7E" w:sz="4" w:space="0"/>
      </w:tblBorders>
    </w:tblPr>
    <w:tblStylePr w:type="firstRow">
      <w:rPr>
        <w:b/>
        <w:color w:val="000000"/>
      </w:rPr>
      <w:tcPr>
        <w:tcBorders>
          <w:top w:val="nil"/>
          <w:left w:val="nil"/>
          <w:bottom w:val="single" w:color="7E7E7E" w:sz="4" w:space="0"/>
          <w:right w:val="nil"/>
          <w:insideH w:val="nil"/>
          <w:insideV w:val="nil"/>
          <w:tl2br w:val="nil"/>
          <w:tr2bl w:val="nil"/>
        </w:tcBorders>
      </w:tcPr>
    </w:tblStylePr>
    <w:tblStylePr w:type="lastRow">
      <w:rPr>
        <w:b/>
        <w:color w:val="000000"/>
      </w:rPr>
      <w:tcPr>
        <w:tcBorders>
          <w:top w:val="single" w:color="7E7E7E" w:sz="4" w:space="0"/>
          <w:left w:val="nil"/>
          <w:bottom w:val="nil"/>
          <w:right w:val="nil"/>
          <w:insideH w:val="nil"/>
          <w:insideV w:val="nil"/>
          <w:tl2br w:val="nil"/>
          <w:tr2bl w:val="nil"/>
        </w:tcBorders>
      </w:tcPr>
    </w:tblStylePr>
    <w:tblStylePr w:type="firstCol">
      <w:rPr>
        <w:b/>
        <w:color w:val="000000"/>
      </w:rPr>
    </w:tblStylePr>
    <w:tblStylePr w:type="lastCol">
      <w:rPr>
        <w:b/>
        <w:color w:val="000000"/>
      </w:rPr>
    </w:tblStylePr>
    <w:tblStylePr w:type="band1Vert">
      <w:tcPr>
        <w:shd w:val="clear" w:color="BEBEBE" w:fill="BEBEBE"/>
      </w:tcPr>
    </w:tblStylePr>
    <w:tblStylePr w:type="band1Horz">
      <w:rPr>
        <w:rFonts w:ascii="等线" w:hAnsi="等线"/>
        <w:color w:val="000000"/>
        <w:sz w:val="22"/>
      </w:rPr>
      <w:tcPr>
        <w:shd w:val="clear" w:color="BEBEBE" w:fill="BEBEBE"/>
      </w:tcPr>
    </w:tblStylePr>
    <w:tblStylePr w:type="band2Horz">
      <w:rPr>
        <w:rFonts w:ascii="等线" w:hAnsi="等线"/>
        <w:color w:val="000000"/>
        <w:sz w:val="22"/>
      </w:rPr>
    </w:tblStylePr>
  </w:style>
  <w:style w:type="table" w:customStyle="1" w:styleId="137">
    <w:name w:val="清单表 7 彩色1"/>
    <w:basedOn w:val="53"/>
    <w:qFormat/>
    <w:uiPriority w:val="99"/>
    <w:tblPr>
      <w:tblBorders>
        <w:right w:val="single" w:color="7E7E7E" w:sz="4" w:space="0"/>
      </w:tblBorders>
    </w:tblPr>
    <w:tblStylePr w:type="firstRow">
      <w:rPr>
        <w:rFonts w:ascii="等线" w:hAnsi="等线"/>
        <w:i/>
        <w:color w:val="7F7F7F"/>
        <w:sz w:val="22"/>
      </w:rPr>
      <w:tcPr>
        <w:tcBorders>
          <w:top w:val="nil"/>
          <w:left w:val="nil"/>
          <w:bottom w:val="single" w:color="7E7E7E" w:sz="4" w:space="0"/>
          <w:right w:val="nil"/>
          <w:insideH w:val="nil"/>
          <w:insideV w:val="nil"/>
          <w:tl2br w:val="nil"/>
          <w:tr2bl w:val="nil"/>
        </w:tcBorders>
        <w:shd w:val="clear" w:color="FFFFFF" w:fill="FFFFFF"/>
      </w:tcPr>
    </w:tblStylePr>
    <w:tblStylePr w:type="lastRow">
      <w:rPr>
        <w:rFonts w:ascii="等线" w:hAnsi="等线"/>
        <w:i/>
        <w:color w:val="7F7F7F"/>
        <w:sz w:val="22"/>
      </w:rPr>
      <w:tcPr>
        <w:tcBorders>
          <w:top w:val="single" w:color="7E7E7E"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7F7F7F"/>
        <w:sz w:val="22"/>
      </w:rPr>
      <w:tcPr>
        <w:tcBorders>
          <w:top w:val="nil"/>
          <w:left w:val="nil"/>
          <w:bottom w:val="nil"/>
          <w:right w:val="single" w:color="7E7E7E" w:sz="4" w:space="0"/>
          <w:insideH w:val="nil"/>
          <w:insideV w:val="nil"/>
          <w:tl2br w:val="nil"/>
          <w:tr2bl w:val="nil"/>
        </w:tcBorders>
        <w:shd w:val="clear" w:color="FFFFFF" w:fill="auto"/>
      </w:tcPr>
    </w:tblStylePr>
    <w:tblStylePr w:type="lastCol">
      <w:rPr>
        <w:rFonts w:ascii="等线" w:hAnsi="等线"/>
        <w:i/>
        <w:color w:val="7F7F7F"/>
        <w:sz w:val="22"/>
      </w:rPr>
      <w:tcPr>
        <w:tcBorders>
          <w:top w:val="nil"/>
          <w:left w:val="single" w:color="7E7E7E" w:sz="4" w:space="0"/>
          <w:bottom w:val="nil"/>
          <w:right w:val="nil"/>
          <w:insideH w:val="nil"/>
          <w:insideV w:val="nil"/>
          <w:tl2br w:val="nil"/>
          <w:tr2bl w:val="nil"/>
        </w:tcBorders>
        <w:shd w:val="clear" w:color="FFFFFF" w:fill="auto"/>
      </w:tcPr>
    </w:tblStylePr>
    <w:tblStylePr w:type="band1Vert">
      <w:tcPr>
        <w:shd w:val="clear" w:color="BEBEBE" w:fill="BEBEBE"/>
      </w:tcPr>
    </w:tblStylePr>
    <w:tblStylePr w:type="band1Horz">
      <w:rPr>
        <w:rFonts w:ascii="等线" w:hAnsi="等线"/>
        <w:color w:val="7F7F7F"/>
        <w:sz w:val="22"/>
      </w:rPr>
      <w:tcPr>
        <w:shd w:val="clear" w:color="BEBEBE" w:fill="BEBEBE"/>
      </w:tcPr>
    </w:tblStylePr>
    <w:tblStylePr w:type="band2Horz">
      <w:rPr>
        <w:rFonts w:ascii="等线" w:hAnsi="等线"/>
        <w:color w:val="7F7F7F"/>
        <w:sz w:val="22"/>
      </w:rPr>
    </w:tblStylePr>
  </w:style>
  <w:style w:type="paragraph" w:customStyle="1" w:styleId="138">
    <w:name w:val="TOC 标题1"/>
    <w:unhideWhenUsed/>
    <w:qFormat/>
    <w:uiPriority w:val="39"/>
    <w:rPr>
      <w:rFonts w:ascii="Times New Roman" w:hAnsi="Times New Roman" w:eastAsia="宋体" w:cs="Times New Roman"/>
      <w:lang w:val="en-US" w:eastAsia="zh-CN" w:bidi="ar-SA"/>
    </w:rPr>
  </w:style>
  <w:style w:type="paragraph" w:customStyle="1" w:styleId="139">
    <w:name w:val="Normal_21"/>
    <w:basedOn w:val="140"/>
    <w:next w:val="140"/>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140">
    <w:name w:val="正文_16"/>
    <w:qFormat/>
    <w:uiPriority w:val="0"/>
    <w:pPr>
      <w:widowControl w:val="0"/>
      <w:jc w:val="both"/>
    </w:pPr>
    <w:rPr>
      <w:rFonts w:ascii="Calibri" w:hAnsi="Calibri" w:eastAsia="宋体" w:cs="Times New Roman"/>
      <w:sz w:val="21"/>
      <w:szCs w:val="22"/>
      <w:lang w:val="en-US" w:eastAsia="zh-CN" w:bidi="ar-SA"/>
    </w:rPr>
  </w:style>
  <w:style w:type="paragraph" w:customStyle="1" w:styleId="141">
    <w:name w:val="正文_17"/>
    <w:next w:val="142"/>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42">
    <w:name w:val="标题 4_1"/>
    <w:basedOn w:val="141"/>
    <w:next w:val="141"/>
    <w:qFormat/>
    <w:uiPriority w:val="0"/>
    <w:pPr>
      <w:keepNext/>
      <w:keepLines/>
      <w:tabs>
        <w:tab w:val="left" w:pos="1134"/>
        <w:tab w:val="right" w:pos="7371"/>
      </w:tabs>
      <w:spacing w:line="360" w:lineRule="auto"/>
      <w:outlineLvl w:val="3"/>
    </w:pPr>
    <w:rPr>
      <w:rFonts w:ascii="宋体"/>
      <w:color w:val="800000"/>
      <w:sz w:val="28"/>
      <w:szCs w:val="20"/>
    </w:rPr>
  </w:style>
  <w:style w:type="character" w:customStyle="1" w:styleId="143">
    <w:name w:val="Heading 1 Char"/>
    <w:qFormat/>
    <w:uiPriority w:val="9"/>
    <w:rPr>
      <w:rFonts w:ascii="Arial" w:hAnsi="Arial" w:eastAsia="Arial" w:cs="Arial"/>
      <w:sz w:val="40"/>
      <w:szCs w:val="40"/>
    </w:rPr>
  </w:style>
  <w:style w:type="character" w:customStyle="1" w:styleId="144">
    <w:name w:val="Heading 2 Char"/>
    <w:qFormat/>
    <w:uiPriority w:val="9"/>
    <w:rPr>
      <w:rFonts w:ascii="Arial" w:hAnsi="Arial" w:eastAsia="Arial" w:cs="Arial"/>
      <w:sz w:val="34"/>
    </w:rPr>
  </w:style>
  <w:style w:type="character" w:customStyle="1" w:styleId="145">
    <w:name w:val="Heading 3 Char"/>
    <w:qFormat/>
    <w:uiPriority w:val="9"/>
    <w:rPr>
      <w:rFonts w:ascii="Arial" w:hAnsi="Arial" w:eastAsia="Arial" w:cs="Arial"/>
      <w:sz w:val="30"/>
      <w:szCs w:val="30"/>
    </w:rPr>
  </w:style>
  <w:style w:type="character" w:customStyle="1" w:styleId="146">
    <w:name w:val="Heading 4 Char"/>
    <w:qFormat/>
    <w:uiPriority w:val="9"/>
    <w:rPr>
      <w:rFonts w:ascii="Arial" w:hAnsi="Arial" w:eastAsia="Arial" w:cs="Arial"/>
      <w:b/>
      <w:bCs/>
      <w:sz w:val="26"/>
      <w:szCs w:val="26"/>
    </w:rPr>
  </w:style>
  <w:style w:type="character" w:customStyle="1" w:styleId="147">
    <w:name w:val="Heading 5 Char"/>
    <w:qFormat/>
    <w:uiPriority w:val="9"/>
    <w:rPr>
      <w:rFonts w:ascii="Arial" w:hAnsi="Arial" w:eastAsia="Arial" w:cs="Arial"/>
      <w:b/>
      <w:bCs/>
      <w:sz w:val="24"/>
      <w:szCs w:val="24"/>
    </w:rPr>
  </w:style>
  <w:style w:type="character" w:customStyle="1" w:styleId="148">
    <w:name w:val="Heading 6 Char"/>
    <w:qFormat/>
    <w:uiPriority w:val="9"/>
    <w:rPr>
      <w:rFonts w:ascii="Arial" w:hAnsi="Arial" w:eastAsia="Arial" w:cs="Arial"/>
      <w:b/>
      <w:bCs/>
      <w:sz w:val="22"/>
      <w:szCs w:val="22"/>
    </w:rPr>
  </w:style>
  <w:style w:type="character" w:customStyle="1" w:styleId="149">
    <w:name w:val="Heading 7 Char"/>
    <w:qFormat/>
    <w:uiPriority w:val="9"/>
    <w:rPr>
      <w:rFonts w:ascii="Arial" w:hAnsi="Arial" w:eastAsia="Arial" w:cs="Arial"/>
      <w:b/>
      <w:bCs/>
      <w:i/>
      <w:iCs/>
      <w:sz w:val="22"/>
      <w:szCs w:val="22"/>
    </w:rPr>
  </w:style>
  <w:style w:type="character" w:customStyle="1" w:styleId="150">
    <w:name w:val="Heading 8 Char"/>
    <w:qFormat/>
    <w:uiPriority w:val="9"/>
    <w:rPr>
      <w:rFonts w:ascii="Arial" w:hAnsi="Arial" w:eastAsia="Arial" w:cs="Arial"/>
      <w:i/>
      <w:iCs/>
      <w:sz w:val="22"/>
      <w:szCs w:val="22"/>
    </w:rPr>
  </w:style>
  <w:style w:type="character" w:customStyle="1" w:styleId="151">
    <w:name w:val="Heading 9 Char"/>
    <w:qFormat/>
    <w:uiPriority w:val="9"/>
    <w:rPr>
      <w:rFonts w:ascii="Arial" w:hAnsi="Arial" w:eastAsia="Arial" w:cs="Arial"/>
      <w:i/>
      <w:iCs/>
      <w:sz w:val="21"/>
      <w:szCs w:val="21"/>
    </w:rPr>
  </w:style>
  <w:style w:type="character" w:customStyle="1" w:styleId="152">
    <w:name w:val="Title Char"/>
    <w:qFormat/>
    <w:uiPriority w:val="10"/>
    <w:rPr>
      <w:sz w:val="48"/>
      <w:szCs w:val="48"/>
    </w:rPr>
  </w:style>
  <w:style w:type="character" w:customStyle="1" w:styleId="153">
    <w:name w:val="Subtitle Char"/>
    <w:qFormat/>
    <w:uiPriority w:val="11"/>
    <w:rPr>
      <w:sz w:val="24"/>
      <w:szCs w:val="24"/>
    </w:rPr>
  </w:style>
  <w:style w:type="character" w:customStyle="1" w:styleId="154">
    <w:name w:val="Quote Char"/>
    <w:qFormat/>
    <w:uiPriority w:val="29"/>
    <w:rPr>
      <w:i/>
    </w:rPr>
  </w:style>
  <w:style w:type="character" w:customStyle="1" w:styleId="155">
    <w:name w:val="Intense Quote Char"/>
    <w:qFormat/>
    <w:uiPriority w:val="30"/>
    <w:rPr>
      <w:i/>
    </w:rPr>
  </w:style>
  <w:style w:type="character" w:customStyle="1" w:styleId="156">
    <w:name w:val="Caption Char"/>
    <w:qFormat/>
    <w:uiPriority w:val="99"/>
  </w:style>
  <w:style w:type="character" w:customStyle="1" w:styleId="157">
    <w:name w:val="Footnote Text Char"/>
    <w:qFormat/>
    <w:uiPriority w:val="99"/>
    <w:rPr>
      <w:sz w:val="18"/>
    </w:rPr>
  </w:style>
  <w:style w:type="character" w:customStyle="1" w:styleId="158">
    <w:name w:val="Endnote Text Char"/>
    <w:qFormat/>
    <w:uiPriority w:val="99"/>
    <w:rPr>
      <w:sz w:val="20"/>
    </w:rPr>
  </w:style>
  <w:style w:type="paragraph" w:styleId="159">
    <w:name w:val="List Paragraph"/>
    <w:basedOn w:val="1"/>
    <w:qFormat/>
    <w:uiPriority w:val="0"/>
    <w:pPr>
      <w:ind w:left="720"/>
      <w:contextualSpacing/>
    </w:pPr>
  </w:style>
  <w:style w:type="paragraph" w:styleId="160">
    <w:name w:val="No Spacing"/>
    <w:qFormat/>
    <w:uiPriority w:val="99"/>
    <w:rPr>
      <w:rFonts w:ascii="Times New Roman" w:hAnsi="Times New Roman" w:eastAsia="宋体" w:cs="Times New Roman"/>
      <w:lang w:val="en-US" w:eastAsia="zh-CN" w:bidi="ar-SA"/>
    </w:rPr>
  </w:style>
  <w:style w:type="paragraph" w:styleId="161">
    <w:name w:val="Quote"/>
    <w:basedOn w:val="1"/>
    <w:next w:val="1"/>
    <w:link w:val="162"/>
    <w:qFormat/>
    <w:uiPriority w:val="29"/>
    <w:pPr>
      <w:ind w:left="720" w:right="720"/>
    </w:pPr>
    <w:rPr>
      <w:i/>
    </w:rPr>
  </w:style>
  <w:style w:type="character" w:customStyle="1" w:styleId="162">
    <w:name w:val="引用 字符"/>
    <w:link w:val="161"/>
    <w:qFormat/>
    <w:uiPriority w:val="29"/>
    <w:rPr>
      <w:i/>
    </w:rPr>
  </w:style>
  <w:style w:type="paragraph" w:styleId="163">
    <w:name w:val="Intense Quote"/>
    <w:basedOn w:val="1"/>
    <w:next w:val="1"/>
    <w:link w:val="164"/>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164">
    <w:name w:val="明显引用 字符"/>
    <w:link w:val="163"/>
    <w:qFormat/>
    <w:uiPriority w:val="30"/>
    <w:rPr>
      <w:i/>
    </w:rPr>
  </w:style>
  <w:style w:type="character" w:customStyle="1" w:styleId="165">
    <w:name w:val="Header Char"/>
    <w:qFormat/>
    <w:uiPriority w:val="99"/>
  </w:style>
  <w:style w:type="character" w:customStyle="1" w:styleId="166">
    <w:name w:val="Footer Char"/>
    <w:qFormat/>
    <w:uiPriority w:val="99"/>
  </w:style>
  <w:style w:type="table" w:customStyle="1" w:styleId="167">
    <w:name w:val="Table Grid Light"/>
    <w:basedOn w:val="53"/>
    <w:qFormat/>
    <w:uiPriority w:val="59"/>
    <w:tblPr>
      <w:tblBorders>
        <w:top w:val="single" w:color="AEAEAE" w:sz="4" w:space="0"/>
        <w:left w:val="single" w:color="AEAEAE" w:sz="4" w:space="0"/>
        <w:bottom w:val="single" w:color="AEAEAE" w:sz="4" w:space="0"/>
        <w:right w:val="single" w:color="AEAEAE" w:sz="4" w:space="0"/>
        <w:insideH w:val="single" w:color="AEAEAE" w:sz="4" w:space="0"/>
        <w:insideV w:val="single" w:color="AEAEAE" w:sz="4" w:space="0"/>
      </w:tblBorders>
    </w:tblPr>
  </w:style>
  <w:style w:type="table" w:customStyle="1" w:styleId="168">
    <w:name w:val="Grid Table 1 Light - Accent 1"/>
    <w:basedOn w:val="53"/>
    <w:qFormat/>
    <w:uiPriority w:val="99"/>
    <w:tblPr>
      <w:tblBorders>
        <w:top w:val="single" w:color="BCD6EE" w:sz="4" w:space="0"/>
        <w:left w:val="single" w:color="BCD6EE" w:sz="4" w:space="0"/>
        <w:bottom w:val="single" w:color="BCD6EE" w:sz="4" w:space="0"/>
        <w:right w:val="single" w:color="BCD6EE" w:sz="4" w:space="0"/>
        <w:insideH w:val="single" w:color="BCD6EE" w:sz="4" w:space="0"/>
        <w:insideV w:val="single" w:color="BCD6EE" w:sz="4" w:space="0"/>
      </w:tblBorders>
    </w:tblPr>
    <w:tblStylePr w:type="firstRow">
      <w:rPr>
        <w:b/>
        <w:color w:val="404040"/>
      </w:rPr>
      <w:tcPr>
        <w:tcBorders>
          <w:top w:val="nil"/>
          <w:left w:val="nil"/>
          <w:bottom w:val="single" w:color="9FC4E6"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BCD6EE" w:sz="4" w:space="0"/>
          <w:left w:val="single" w:color="BCD6EE" w:sz="4" w:space="0"/>
          <w:bottom w:val="single" w:color="BCD6EE" w:sz="4" w:space="0"/>
          <w:right w:val="single" w:color="BCD6EE" w:sz="4" w:space="0"/>
          <w:insideH w:val="nil"/>
          <w:insideV w:val="nil"/>
          <w:tl2br w:val="nil"/>
          <w:tr2bl w:val="nil"/>
        </w:tcBorders>
      </w:tcPr>
    </w:tblStylePr>
  </w:style>
  <w:style w:type="table" w:customStyle="1" w:styleId="169">
    <w:name w:val="Grid Table 1 Light - Accent 2"/>
    <w:basedOn w:val="53"/>
    <w:qFormat/>
    <w:uiPriority w:val="99"/>
    <w:tblPr>
      <w:tblBorders>
        <w:top w:val="single" w:color="F7CAAB" w:sz="4" w:space="0"/>
        <w:left w:val="single" w:color="F7CAAB" w:sz="4" w:space="0"/>
        <w:bottom w:val="single" w:color="F7CAAB" w:sz="4" w:space="0"/>
        <w:right w:val="single" w:color="F7CAAB" w:sz="4" w:space="0"/>
        <w:insideH w:val="single" w:color="F7CAAB" w:sz="4" w:space="0"/>
        <w:insideV w:val="single" w:color="F7CAAB" w:sz="4" w:space="0"/>
      </w:tblBorders>
    </w:tblPr>
    <w:tblStylePr w:type="firstRow">
      <w:rPr>
        <w:b/>
        <w:color w:val="404040"/>
      </w:rPr>
      <w:tcPr>
        <w:tcBorders>
          <w:top w:val="nil"/>
          <w:left w:val="nil"/>
          <w:bottom w:val="single" w:color="F4B386"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F7CAAB" w:sz="4" w:space="0"/>
          <w:left w:val="single" w:color="F7CAAB" w:sz="4" w:space="0"/>
          <w:bottom w:val="single" w:color="F7CAAB" w:sz="4" w:space="0"/>
          <w:right w:val="single" w:color="F7CAAB" w:sz="4" w:space="0"/>
          <w:insideH w:val="nil"/>
          <w:insideV w:val="nil"/>
          <w:tl2br w:val="nil"/>
          <w:tr2bl w:val="nil"/>
        </w:tcBorders>
      </w:tcPr>
    </w:tblStylePr>
  </w:style>
  <w:style w:type="table" w:customStyle="1" w:styleId="170">
    <w:name w:val="Grid Table 1 Light - Accent 3"/>
    <w:basedOn w:val="53"/>
    <w:qFormat/>
    <w:uiPriority w:val="99"/>
    <w:tblPr>
      <w:tblBorders>
        <w:top w:val="single" w:color="DADADA" w:sz="4" w:space="0"/>
        <w:left w:val="single" w:color="DADADA" w:sz="4" w:space="0"/>
        <w:bottom w:val="single" w:color="DADADA" w:sz="4" w:space="0"/>
        <w:right w:val="single" w:color="DADADA" w:sz="4" w:space="0"/>
        <w:insideH w:val="single" w:color="DADADA" w:sz="4" w:space="0"/>
        <w:insideV w:val="single" w:color="DADADA" w:sz="4" w:space="0"/>
      </w:tblBorders>
    </w:tblPr>
    <w:tblStylePr w:type="firstRow">
      <w:rPr>
        <w:b/>
        <w:color w:val="404040"/>
      </w:rPr>
      <w:tcPr>
        <w:tcBorders>
          <w:top w:val="nil"/>
          <w:left w:val="nil"/>
          <w:bottom w:val="single" w:color="CACACA"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DADADA" w:sz="4" w:space="0"/>
          <w:left w:val="single" w:color="DADADA" w:sz="4" w:space="0"/>
          <w:bottom w:val="single" w:color="DADADA" w:sz="4" w:space="0"/>
          <w:right w:val="single" w:color="DADADA" w:sz="4" w:space="0"/>
          <w:insideH w:val="nil"/>
          <w:insideV w:val="nil"/>
          <w:tl2br w:val="nil"/>
          <w:tr2bl w:val="nil"/>
        </w:tcBorders>
      </w:tcPr>
    </w:tblStylePr>
  </w:style>
  <w:style w:type="table" w:customStyle="1" w:styleId="171">
    <w:name w:val="Grid Table 1 Light - Accent 4"/>
    <w:basedOn w:val="53"/>
    <w:qFormat/>
    <w:uiPriority w:val="99"/>
    <w:tblPr>
      <w:tblBorders>
        <w:top w:val="single" w:color="FFE597" w:sz="4" w:space="0"/>
        <w:left w:val="single" w:color="FFE597" w:sz="4" w:space="0"/>
        <w:bottom w:val="single" w:color="FFE597" w:sz="4" w:space="0"/>
        <w:right w:val="single" w:color="FFE597" w:sz="4" w:space="0"/>
        <w:insideH w:val="single" w:color="FFE597" w:sz="4" w:space="0"/>
        <w:insideV w:val="single" w:color="FFE597" w:sz="4" w:space="0"/>
      </w:tblBorders>
    </w:tblPr>
    <w:tblStylePr w:type="firstRow">
      <w:rPr>
        <w:b/>
        <w:color w:val="404040"/>
      </w:rPr>
      <w:tcPr>
        <w:tcBorders>
          <w:top w:val="nil"/>
          <w:left w:val="nil"/>
          <w:bottom w:val="single" w:color="FFDA69"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FFE597" w:sz="4" w:space="0"/>
          <w:left w:val="single" w:color="FFE597" w:sz="4" w:space="0"/>
          <w:bottom w:val="single" w:color="FFE597" w:sz="4" w:space="0"/>
          <w:right w:val="single" w:color="FFE597" w:sz="4" w:space="0"/>
          <w:insideH w:val="nil"/>
          <w:insideV w:val="nil"/>
          <w:tl2br w:val="nil"/>
          <w:tr2bl w:val="nil"/>
        </w:tcBorders>
      </w:tcPr>
    </w:tblStylePr>
  </w:style>
  <w:style w:type="table" w:customStyle="1" w:styleId="172">
    <w:name w:val="Grid Table 1 Light - Accent 5"/>
    <w:basedOn w:val="53"/>
    <w:qFormat/>
    <w:uiPriority w:val="99"/>
    <w:tblPr>
      <w:tblBorders>
        <w:top w:val="single" w:color="B3C6E7" w:sz="4" w:space="0"/>
        <w:left w:val="single" w:color="B3C6E7" w:sz="4" w:space="0"/>
        <w:bottom w:val="single" w:color="B3C6E7" w:sz="4" w:space="0"/>
        <w:right w:val="single" w:color="B3C6E7" w:sz="4" w:space="0"/>
        <w:insideH w:val="single" w:color="B3C6E7" w:sz="4" w:space="0"/>
        <w:insideV w:val="single" w:color="B3C6E7" w:sz="4" w:space="0"/>
      </w:tblBorders>
    </w:tblPr>
    <w:tblStylePr w:type="firstRow">
      <w:rPr>
        <w:b/>
        <w:color w:val="404040"/>
      </w:rPr>
      <w:tcPr>
        <w:tcBorders>
          <w:top w:val="nil"/>
          <w:left w:val="nil"/>
          <w:bottom w:val="single" w:color="91ACDC"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B3C6E7" w:sz="4" w:space="0"/>
          <w:left w:val="single" w:color="B3C6E7" w:sz="4" w:space="0"/>
          <w:bottom w:val="single" w:color="B3C6E7" w:sz="4" w:space="0"/>
          <w:right w:val="single" w:color="B3C6E7" w:sz="4" w:space="0"/>
          <w:insideH w:val="nil"/>
          <w:insideV w:val="nil"/>
          <w:tl2br w:val="nil"/>
          <w:tr2bl w:val="nil"/>
        </w:tcBorders>
      </w:tcPr>
    </w:tblStylePr>
  </w:style>
  <w:style w:type="table" w:customStyle="1" w:styleId="173">
    <w:name w:val="Grid Table 1 Light - Accent 6"/>
    <w:basedOn w:val="53"/>
    <w:qFormat/>
    <w:uiPriority w:val="99"/>
    <w:tblPr>
      <w:tblBorders>
        <w:top w:val="single" w:color="C4DFB2" w:sz="4" w:space="0"/>
        <w:left w:val="single" w:color="C4DFB2" w:sz="4" w:space="0"/>
        <w:bottom w:val="single" w:color="C4DFB2" w:sz="4" w:space="0"/>
        <w:right w:val="single" w:color="C4DFB2" w:sz="4" w:space="0"/>
        <w:insideH w:val="single" w:color="C4DFB2" w:sz="4" w:space="0"/>
        <w:insideV w:val="single" w:color="C4DFB2" w:sz="4" w:space="0"/>
      </w:tblBorders>
    </w:tblPr>
    <w:tblStylePr w:type="firstRow">
      <w:rPr>
        <w:b/>
        <w:color w:val="404040"/>
      </w:rPr>
      <w:tcPr>
        <w:tcBorders>
          <w:top w:val="nil"/>
          <w:left w:val="nil"/>
          <w:bottom w:val="single" w:color="AAD190" w:sz="12" w:space="0"/>
          <w:right w:val="nil"/>
          <w:insideH w:val="nil"/>
          <w:insideV w:val="nil"/>
          <w:tl2br w:val="nil"/>
          <w:tr2bl w:val="nil"/>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等线" w:hAnsi="等线"/>
        <w:color w:val="404040"/>
        <w:sz w:val="22"/>
      </w:rPr>
      <w:tcPr>
        <w:tcBorders>
          <w:top w:val="single" w:color="C4DFB2" w:sz="4" w:space="0"/>
          <w:left w:val="single" w:color="C4DFB2" w:sz="4" w:space="0"/>
          <w:bottom w:val="single" w:color="C4DFB2" w:sz="4" w:space="0"/>
          <w:right w:val="single" w:color="C4DFB2" w:sz="4" w:space="0"/>
          <w:insideH w:val="nil"/>
          <w:insideV w:val="nil"/>
          <w:tl2br w:val="nil"/>
          <w:tr2bl w:val="nil"/>
        </w:tcBorders>
      </w:tcPr>
    </w:tblStylePr>
  </w:style>
  <w:style w:type="table" w:customStyle="1" w:styleId="174">
    <w:name w:val="Grid Table 2 - Accent 1"/>
    <w:basedOn w:val="53"/>
    <w:qFormat/>
    <w:uiPriority w:val="99"/>
    <w:tblPr>
      <w:tblBorders>
        <w:bottom w:val="single" w:color="68A3D8" w:sz="4" w:space="0"/>
        <w:insideH w:val="single" w:color="68A3D8" w:sz="4" w:space="0"/>
        <w:insideV w:val="single" w:color="68A3D8" w:sz="4" w:space="0"/>
      </w:tblBorders>
    </w:tblPr>
    <w:tblStylePr w:type="firstRow">
      <w:rPr>
        <w:b/>
        <w:color w:val="404040"/>
      </w:rPr>
      <w:tcPr>
        <w:tcBorders>
          <w:top w:val="nil"/>
          <w:left w:val="nil"/>
          <w:bottom w:val="single" w:color="68A3D8" w:sz="12" w:space="0"/>
          <w:right w:val="nil"/>
          <w:insideH w:val="nil"/>
          <w:insideV w:val="nil"/>
          <w:tl2br w:val="nil"/>
          <w:tr2bl w:val="nil"/>
        </w:tcBorders>
        <w:shd w:val="clear" w:color="FFFFFF" w:fill="auto"/>
      </w:tcPr>
    </w:tblStylePr>
    <w:tblStylePr w:type="lastRow">
      <w:rPr>
        <w:b/>
        <w:color w:val="404040"/>
      </w:rPr>
      <w:tcPr>
        <w:tcBorders>
          <w:top w:val="single" w:color="68A3D8"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DEAF6" w:fill="DDEAF6"/>
      </w:tcPr>
    </w:tblStylePr>
    <w:tblStylePr w:type="band1Horz">
      <w:rPr>
        <w:rFonts w:ascii="等线" w:hAnsi="等线"/>
        <w:color w:val="404040"/>
        <w:sz w:val="22"/>
      </w:rPr>
      <w:tcPr>
        <w:shd w:val="clear" w:color="DDEAF6" w:fill="DDEAF6"/>
      </w:tcPr>
    </w:tblStylePr>
  </w:style>
  <w:style w:type="table" w:customStyle="1" w:styleId="175">
    <w:name w:val="Grid Table 2 - Accent 2"/>
    <w:basedOn w:val="53"/>
    <w:qFormat/>
    <w:uiPriority w:val="99"/>
    <w:tblPr>
      <w:tblBorders>
        <w:bottom w:val="single" w:color="F4B285" w:sz="4" w:space="0"/>
        <w:insideH w:val="single" w:color="F4B285" w:sz="4" w:space="0"/>
        <w:insideV w:val="single" w:color="F4B285" w:sz="4" w:space="0"/>
      </w:tblBorders>
    </w:tblPr>
    <w:tblStylePr w:type="firstRow">
      <w:rPr>
        <w:b/>
        <w:color w:val="404040"/>
      </w:rPr>
      <w:tcPr>
        <w:tcBorders>
          <w:top w:val="nil"/>
          <w:left w:val="nil"/>
          <w:bottom w:val="single" w:color="F4B285" w:sz="12" w:space="0"/>
          <w:right w:val="nil"/>
          <w:insideH w:val="nil"/>
          <w:insideV w:val="nil"/>
          <w:tl2br w:val="nil"/>
          <w:tr2bl w:val="nil"/>
        </w:tcBorders>
        <w:shd w:val="clear" w:color="FFFFFF" w:fill="auto"/>
      </w:tcPr>
    </w:tblStylePr>
    <w:tblStylePr w:type="lastRow">
      <w:rPr>
        <w:b/>
        <w:color w:val="404040"/>
      </w:rPr>
      <w:tcPr>
        <w:tcBorders>
          <w:top w:val="single" w:color="F4B285"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BE5D6" w:fill="FBE5D6"/>
      </w:tcPr>
    </w:tblStylePr>
    <w:tblStylePr w:type="band1Horz">
      <w:rPr>
        <w:rFonts w:ascii="等线" w:hAnsi="等线"/>
        <w:color w:val="404040"/>
        <w:sz w:val="22"/>
      </w:rPr>
      <w:tcPr>
        <w:shd w:val="clear" w:color="FBE5D6" w:fill="FBE5D6"/>
      </w:tcPr>
    </w:tblStylePr>
  </w:style>
  <w:style w:type="table" w:customStyle="1" w:styleId="176">
    <w:name w:val="Grid Table 2 - Accent 3"/>
    <w:basedOn w:val="53"/>
    <w:qFormat/>
    <w:uiPriority w:val="99"/>
    <w:tblPr>
      <w:tblBorders>
        <w:bottom w:val="single" w:color="A5A5A5" w:sz="4" w:space="0"/>
        <w:insideH w:val="single" w:color="A5A5A5" w:sz="4" w:space="0"/>
        <w:insideV w:val="single" w:color="A5A5A5" w:sz="4" w:space="0"/>
      </w:tblBorders>
    </w:tblPr>
    <w:tblStylePr w:type="firstRow">
      <w:rPr>
        <w:b/>
        <w:color w:val="404040"/>
      </w:rPr>
      <w:tcPr>
        <w:tcBorders>
          <w:top w:val="nil"/>
          <w:left w:val="nil"/>
          <w:bottom w:val="single" w:color="A5A5A5" w:sz="12" w:space="0"/>
          <w:right w:val="nil"/>
          <w:insideH w:val="nil"/>
          <w:insideV w:val="nil"/>
          <w:tl2br w:val="nil"/>
          <w:tr2bl w:val="nil"/>
        </w:tcBorders>
        <w:shd w:val="clear" w:color="FFFFFF" w:fill="auto"/>
      </w:tcPr>
    </w:tblStylePr>
    <w:tblStylePr w:type="lastRow">
      <w:rPr>
        <w:b/>
        <w:color w:val="404040"/>
      </w:rPr>
      <w:tcPr>
        <w:tcBorders>
          <w:top w:val="single" w:color="A5A5A5"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ECECEC" w:fill="ECECEC"/>
      </w:tcPr>
    </w:tblStylePr>
    <w:tblStylePr w:type="band1Horz">
      <w:rPr>
        <w:rFonts w:ascii="等线" w:hAnsi="等线"/>
        <w:color w:val="404040"/>
        <w:sz w:val="22"/>
      </w:rPr>
      <w:tcPr>
        <w:shd w:val="clear" w:color="ECECEC" w:fill="ECECEC"/>
      </w:tcPr>
    </w:tblStylePr>
  </w:style>
  <w:style w:type="table" w:customStyle="1" w:styleId="177">
    <w:name w:val="Grid Table 2 - Accent 4"/>
    <w:basedOn w:val="53"/>
    <w:qFormat/>
    <w:uiPriority w:val="99"/>
    <w:tblPr>
      <w:tblBorders>
        <w:bottom w:val="single" w:color="FFD864" w:sz="4" w:space="0"/>
        <w:insideH w:val="single" w:color="FFD864" w:sz="4" w:space="0"/>
        <w:insideV w:val="single" w:color="FFD864" w:sz="4" w:space="0"/>
      </w:tblBorders>
    </w:tblPr>
    <w:tblStylePr w:type="firstRow">
      <w:rPr>
        <w:b/>
        <w:color w:val="404040"/>
      </w:rPr>
      <w:tcPr>
        <w:tcBorders>
          <w:top w:val="nil"/>
          <w:left w:val="nil"/>
          <w:bottom w:val="single" w:color="FFD864" w:sz="12" w:space="0"/>
          <w:right w:val="nil"/>
          <w:insideH w:val="nil"/>
          <w:insideV w:val="nil"/>
          <w:tl2br w:val="nil"/>
          <w:tr2bl w:val="nil"/>
        </w:tcBorders>
        <w:shd w:val="clear" w:color="FFFFFF" w:fill="auto"/>
      </w:tcPr>
    </w:tblStylePr>
    <w:tblStylePr w:type="lastRow">
      <w:rPr>
        <w:b/>
        <w:color w:val="404040"/>
      </w:rPr>
      <w:tcPr>
        <w:tcBorders>
          <w:top w:val="single" w:color="FFD864"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EF2CA" w:fill="FEF2CA"/>
      </w:tcPr>
    </w:tblStylePr>
    <w:tblStylePr w:type="band1Horz">
      <w:rPr>
        <w:rFonts w:ascii="等线" w:hAnsi="等线"/>
        <w:color w:val="404040"/>
        <w:sz w:val="22"/>
      </w:rPr>
      <w:tcPr>
        <w:shd w:val="clear" w:color="FEF2CA" w:fill="FEF2CA"/>
      </w:tcPr>
    </w:tblStylePr>
  </w:style>
  <w:style w:type="table" w:customStyle="1" w:styleId="178">
    <w:name w:val="Grid Table 2 - Accent 5"/>
    <w:basedOn w:val="53"/>
    <w:qFormat/>
    <w:uiPriority w:val="99"/>
    <w:tblPr>
      <w:tblBorders>
        <w:bottom w:val="single" w:color="4472C4" w:sz="4" w:space="0"/>
        <w:insideH w:val="single" w:color="4472C4" w:sz="4" w:space="0"/>
        <w:insideV w:val="single" w:color="4472C4" w:sz="4" w:space="0"/>
      </w:tblBorders>
    </w:tblPr>
    <w:tblStylePr w:type="firstRow">
      <w:rPr>
        <w:b/>
        <w:color w:val="404040"/>
      </w:rPr>
      <w:tcPr>
        <w:tcBorders>
          <w:top w:val="nil"/>
          <w:left w:val="nil"/>
          <w:bottom w:val="single" w:color="4472C4" w:sz="12" w:space="0"/>
          <w:right w:val="nil"/>
          <w:insideH w:val="nil"/>
          <w:insideV w:val="nil"/>
          <w:tl2br w:val="nil"/>
          <w:tr2bl w:val="nil"/>
        </w:tcBorders>
        <w:shd w:val="clear" w:color="FFFFFF" w:fill="auto"/>
      </w:tcPr>
    </w:tblStylePr>
    <w:tblStylePr w:type="lastRow">
      <w:rPr>
        <w:b/>
        <w:color w:val="404040"/>
      </w:rPr>
      <w:tcPr>
        <w:tcBorders>
          <w:top w:val="single" w:color="4472C4"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8E2F2" w:fill="D8E2F2"/>
      </w:tcPr>
    </w:tblStylePr>
    <w:tblStylePr w:type="band1Horz">
      <w:rPr>
        <w:rFonts w:ascii="等线" w:hAnsi="等线"/>
        <w:color w:val="404040"/>
        <w:sz w:val="22"/>
      </w:rPr>
      <w:tcPr>
        <w:shd w:val="clear" w:color="D8E2F2" w:fill="D8E2F2"/>
      </w:tcPr>
    </w:tblStylePr>
  </w:style>
  <w:style w:type="table" w:customStyle="1" w:styleId="179">
    <w:name w:val="Grid Table 2 - Accent 6"/>
    <w:basedOn w:val="53"/>
    <w:qFormat/>
    <w:uiPriority w:val="99"/>
    <w:tblPr>
      <w:tblBorders>
        <w:bottom w:val="single" w:color="70AD47" w:sz="4" w:space="0"/>
        <w:insideH w:val="single" w:color="70AD47" w:sz="4" w:space="0"/>
        <w:insideV w:val="single" w:color="70AD47" w:sz="4" w:space="0"/>
      </w:tblBorders>
    </w:tblPr>
    <w:tblStylePr w:type="firstRow">
      <w:rPr>
        <w:b/>
        <w:color w:val="404040"/>
      </w:rPr>
      <w:tcPr>
        <w:tcBorders>
          <w:top w:val="nil"/>
          <w:left w:val="nil"/>
          <w:bottom w:val="single" w:color="70AD47" w:sz="12" w:space="0"/>
          <w:right w:val="nil"/>
          <w:insideH w:val="nil"/>
          <w:insideV w:val="nil"/>
          <w:tl2br w:val="nil"/>
          <w:tr2bl w:val="nil"/>
        </w:tcBorders>
        <w:shd w:val="clear" w:color="FFFFFF" w:fill="auto"/>
      </w:tcPr>
    </w:tblStylePr>
    <w:tblStylePr w:type="lastRow">
      <w:rPr>
        <w:b/>
        <w:color w:val="404040"/>
      </w:rPr>
      <w:tcPr>
        <w:tcBorders>
          <w:top w:val="single" w:color="70AD47" w:sz="4" w:space="0"/>
          <w:left w:val="nil"/>
          <w:bottom w:val="nil"/>
          <w:right w:val="nil"/>
          <w:insideH w:val="nil"/>
          <w:insideV w:val="nil"/>
          <w:tl2br w:val="nil"/>
          <w:tr2bl w:val="nil"/>
        </w:tcBorders>
        <w:shd w:val="clear" w:color="FFFFFF" w:fill="auto"/>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E1EFD8" w:fill="E1EFD8"/>
      </w:tcPr>
    </w:tblStylePr>
    <w:tblStylePr w:type="band1Horz">
      <w:rPr>
        <w:rFonts w:ascii="等线" w:hAnsi="等线"/>
        <w:color w:val="404040"/>
        <w:sz w:val="22"/>
      </w:rPr>
      <w:tcPr>
        <w:shd w:val="clear" w:color="E1EFD8" w:fill="E1EFD8"/>
      </w:tcPr>
    </w:tblStylePr>
  </w:style>
  <w:style w:type="table" w:customStyle="1" w:styleId="180">
    <w:name w:val="Grid Table 3 - Accent 1"/>
    <w:basedOn w:val="53"/>
    <w:qFormat/>
    <w:uiPriority w:val="99"/>
    <w:tblPr>
      <w:tblBorders>
        <w:bottom w:val="single" w:color="68A3D8" w:sz="4" w:space="0"/>
        <w:insideH w:val="single" w:color="68A3D8" w:sz="4" w:space="0"/>
        <w:insideV w:val="single" w:color="68A3D8"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DDEAF6" w:fill="DDEAF6"/>
      </w:tcPr>
    </w:tblStylePr>
    <w:tblStylePr w:type="band1Horz">
      <w:rPr>
        <w:rFonts w:ascii="等线" w:hAnsi="等线"/>
        <w:color w:val="404040"/>
        <w:sz w:val="22"/>
      </w:rPr>
      <w:tcPr>
        <w:shd w:val="clear" w:color="DDEAF6" w:fill="DDEAF6"/>
      </w:tcPr>
    </w:tblStylePr>
  </w:style>
  <w:style w:type="table" w:customStyle="1" w:styleId="181">
    <w:name w:val="Grid Table 3 - Accent 2"/>
    <w:basedOn w:val="53"/>
    <w:qFormat/>
    <w:uiPriority w:val="99"/>
    <w:tblPr>
      <w:tblBorders>
        <w:bottom w:val="single" w:color="F4B285" w:sz="4" w:space="0"/>
        <w:insideH w:val="single" w:color="F4B285" w:sz="4" w:space="0"/>
        <w:insideV w:val="single" w:color="F4B285"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FBE5D6" w:fill="FBE5D6"/>
      </w:tcPr>
    </w:tblStylePr>
    <w:tblStylePr w:type="band1Horz">
      <w:rPr>
        <w:rFonts w:ascii="等线" w:hAnsi="等线"/>
        <w:color w:val="404040"/>
        <w:sz w:val="22"/>
      </w:rPr>
      <w:tcPr>
        <w:shd w:val="clear" w:color="FBE5D6" w:fill="FBE5D6"/>
      </w:tcPr>
    </w:tblStylePr>
  </w:style>
  <w:style w:type="table" w:customStyle="1" w:styleId="182">
    <w:name w:val="Grid Table 3 - Accent 3"/>
    <w:basedOn w:val="53"/>
    <w:qFormat/>
    <w:uiPriority w:val="99"/>
    <w:tblPr>
      <w:tblBorders>
        <w:bottom w:val="single" w:color="A5A5A5" w:sz="4" w:space="0"/>
        <w:insideH w:val="single" w:color="A5A5A5" w:sz="4" w:space="0"/>
        <w:insideV w:val="single" w:color="A5A5A5"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ECECEC" w:fill="ECECEC"/>
      </w:tcPr>
    </w:tblStylePr>
    <w:tblStylePr w:type="band1Horz">
      <w:rPr>
        <w:rFonts w:ascii="等线" w:hAnsi="等线"/>
        <w:color w:val="404040"/>
        <w:sz w:val="22"/>
      </w:rPr>
      <w:tcPr>
        <w:shd w:val="clear" w:color="ECECEC" w:fill="ECECEC"/>
      </w:tcPr>
    </w:tblStylePr>
  </w:style>
  <w:style w:type="table" w:customStyle="1" w:styleId="183">
    <w:name w:val="Grid Table 3 - Accent 4"/>
    <w:basedOn w:val="53"/>
    <w:qFormat/>
    <w:uiPriority w:val="99"/>
    <w:tblPr>
      <w:tblBorders>
        <w:bottom w:val="single" w:color="FFD864" w:sz="4" w:space="0"/>
        <w:insideH w:val="single" w:color="FFD864" w:sz="4" w:space="0"/>
        <w:insideV w:val="single" w:color="FFD864"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FEF2CA" w:fill="FEF2CA"/>
      </w:tcPr>
    </w:tblStylePr>
    <w:tblStylePr w:type="band1Horz">
      <w:rPr>
        <w:rFonts w:ascii="等线" w:hAnsi="等线"/>
        <w:color w:val="404040"/>
        <w:sz w:val="22"/>
      </w:rPr>
      <w:tcPr>
        <w:shd w:val="clear" w:color="FEF2CA" w:fill="FEF2CA"/>
      </w:tcPr>
    </w:tblStylePr>
  </w:style>
  <w:style w:type="table" w:customStyle="1" w:styleId="184">
    <w:name w:val="Grid Table 3 - Accent 5"/>
    <w:basedOn w:val="53"/>
    <w:qFormat/>
    <w:uiPriority w:val="99"/>
    <w:tblPr>
      <w:tblBorders>
        <w:bottom w:val="single" w:color="4472C4" w:sz="4" w:space="0"/>
        <w:insideH w:val="single" w:color="4472C4" w:sz="4" w:space="0"/>
        <w:insideV w:val="single" w:color="4472C4"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D8E2F2" w:fill="D8E2F2"/>
      </w:tcPr>
    </w:tblStylePr>
    <w:tblStylePr w:type="band1Horz">
      <w:rPr>
        <w:rFonts w:ascii="等线" w:hAnsi="等线"/>
        <w:color w:val="404040"/>
        <w:sz w:val="22"/>
      </w:rPr>
      <w:tcPr>
        <w:shd w:val="clear" w:color="D8E2F2" w:fill="D8E2F2"/>
      </w:tcPr>
    </w:tblStylePr>
  </w:style>
  <w:style w:type="table" w:customStyle="1" w:styleId="185">
    <w:name w:val="Grid Table 3 - Accent 6"/>
    <w:basedOn w:val="53"/>
    <w:qFormat/>
    <w:uiPriority w:val="99"/>
    <w:tblPr>
      <w:tblBorders>
        <w:bottom w:val="single" w:color="70AD47" w:sz="4" w:space="0"/>
        <w:insideH w:val="single" w:color="70AD47" w:sz="4" w:space="0"/>
        <w:insideV w:val="single" w:color="70AD47" w:sz="4" w:space="0"/>
      </w:tblBorders>
    </w:tblPr>
    <w:tblStylePr w:type="firstRow">
      <w:rPr>
        <w:b/>
        <w:color w:val="404040"/>
      </w:rPr>
      <w:tcPr>
        <w:tcBorders>
          <w:top w:val="nil"/>
          <w:left w:val="nil"/>
          <w:bottom w:val="nil"/>
          <w:right w:val="nil"/>
          <w:insideH w:val="nil"/>
          <w:insideV w:val="nil"/>
          <w:tl2br w:val="nil"/>
          <w:tr2bl w:val="nil"/>
        </w:tcBorders>
        <w:shd w:val="clear" w:color="FFFFFF" w:fill="auto"/>
      </w:tcPr>
    </w:tblStylePr>
    <w:tblStylePr w:type="lastRow">
      <w:rPr>
        <w:b/>
        <w:color w:val="404040"/>
      </w:rPr>
      <w:tcPr>
        <w:tcBorders>
          <w:top w:val="nil"/>
          <w:left w:val="nil"/>
          <w:bottom w:val="nil"/>
          <w:right w:val="nil"/>
          <w:insideH w:val="nil"/>
          <w:insideV w:val="nil"/>
          <w:tl2br w:val="nil"/>
          <w:tr2bl w:val="nil"/>
        </w:tcBorders>
        <w:shd w:val="clear" w:color="FFFFFF" w:fill="auto"/>
      </w:tcPr>
    </w:tblStylePr>
    <w:tblStylePr w:type="firstCol">
      <w:pPr>
        <w:jc w:val="right"/>
      </w:pPr>
      <w:rPr>
        <w:i/>
        <w:color w:val="404040"/>
      </w:rPr>
      <w:tcPr>
        <w:tcBorders>
          <w:top w:val="nil"/>
          <w:left w:val="nil"/>
          <w:bottom w:val="nil"/>
          <w:right w:val="nil"/>
          <w:insideH w:val="nil"/>
          <w:insideV w:val="nil"/>
          <w:tl2br w:val="nil"/>
          <w:tr2bl w:val="nil"/>
        </w:tcBorders>
        <w:shd w:val="clear" w:color="FFFFFF" w:fill="auto"/>
      </w:tcPr>
    </w:tblStylePr>
    <w:tblStylePr w:type="lastCol">
      <w:rPr>
        <w:i/>
        <w:color w:val="404040"/>
      </w:rPr>
      <w:tcPr>
        <w:tcBorders>
          <w:top w:val="nil"/>
          <w:left w:val="nil"/>
          <w:bottom w:val="nil"/>
          <w:right w:val="nil"/>
          <w:insideH w:val="nil"/>
          <w:insideV w:val="nil"/>
          <w:tl2br w:val="nil"/>
          <w:tr2bl w:val="nil"/>
        </w:tcBorders>
        <w:shd w:val="clear" w:color="FFFFFF" w:fill="auto"/>
      </w:tcPr>
    </w:tblStylePr>
    <w:tblStylePr w:type="band1Vert">
      <w:rPr>
        <w:rFonts w:ascii="等线" w:hAnsi="等线"/>
        <w:color w:val="404040"/>
        <w:sz w:val="22"/>
      </w:rPr>
      <w:tcPr>
        <w:shd w:val="clear" w:color="E1EFD8" w:fill="E1EFD8"/>
      </w:tcPr>
    </w:tblStylePr>
    <w:tblStylePr w:type="band1Horz">
      <w:rPr>
        <w:rFonts w:ascii="等线" w:hAnsi="等线"/>
        <w:color w:val="404040"/>
        <w:sz w:val="22"/>
      </w:rPr>
      <w:tcPr>
        <w:shd w:val="clear" w:color="E1EFD8" w:fill="E1EFD8"/>
      </w:tcPr>
    </w:tblStylePr>
  </w:style>
  <w:style w:type="table" w:customStyle="1" w:styleId="186">
    <w:name w:val="Grid Table 4 - Accent 1"/>
    <w:basedOn w:val="53"/>
    <w:qFormat/>
    <w:uiPriority w:val="59"/>
    <w:tblPr>
      <w:tblBorders>
        <w:top w:val="single" w:color="A2C6E7" w:sz="4" w:space="0"/>
        <w:left w:val="single" w:color="A2C6E7" w:sz="4" w:space="0"/>
        <w:bottom w:val="single" w:color="A2C6E7" w:sz="4" w:space="0"/>
        <w:right w:val="single" w:color="A2C6E7" w:sz="4" w:space="0"/>
        <w:insideH w:val="single" w:color="A2C6E7" w:sz="4" w:space="0"/>
        <w:insideV w:val="single" w:color="A2C6E7" w:sz="4" w:space="0"/>
      </w:tblBorders>
    </w:tblPr>
    <w:tblStylePr w:type="firstRow">
      <w:rPr>
        <w:rFonts w:ascii="等线" w:hAnsi="等线"/>
        <w:b/>
        <w:color w:val="FFFFFF"/>
        <w:sz w:val="22"/>
      </w:rPr>
      <w:tcPr>
        <w:tcBorders>
          <w:top w:val="single" w:color="68A3D8" w:sz="4" w:space="0"/>
          <w:left w:val="single" w:color="68A3D8" w:sz="4" w:space="0"/>
          <w:bottom w:val="single" w:color="68A3D8" w:sz="4" w:space="0"/>
          <w:right w:val="single" w:color="68A3D8" w:sz="4" w:space="0"/>
          <w:insideH w:val="nil"/>
          <w:insideV w:val="nil"/>
          <w:tl2br w:val="nil"/>
          <w:tr2bl w:val="nil"/>
        </w:tcBorders>
        <w:shd w:val="clear" w:color="68A3D8" w:fill="68A3D8"/>
      </w:tcPr>
    </w:tblStylePr>
    <w:tblStylePr w:type="lastRow">
      <w:rPr>
        <w:b/>
        <w:color w:val="404040"/>
      </w:rPr>
      <w:tcPr>
        <w:tcBorders>
          <w:top w:val="single" w:color="68A3D8"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EEBF6" w:fill="DEEBF6"/>
      </w:tcPr>
    </w:tblStylePr>
    <w:tblStylePr w:type="band1Horz">
      <w:rPr>
        <w:rFonts w:ascii="等线" w:hAnsi="等线"/>
        <w:color w:val="404040"/>
        <w:sz w:val="22"/>
      </w:rPr>
      <w:tcPr>
        <w:shd w:val="clear" w:color="DEEBF6" w:fill="DEEBF6"/>
      </w:tcPr>
    </w:tblStylePr>
  </w:style>
  <w:style w:type="table" w:customStyle="1" w:styleId="187">
    <w:name w:val="Grid Table 4 - Accent 2"/>
    <w:basedOn w:val="53"/>
    <w:qFormat/>
    <w:uiPriority w:val="59"/>
    <w:tblPr>
      <w:tblBorders>
        <w:top w:val="single" w:color="F4B58A" w:sz="4" w:space="0"/>
        <w:left w:val="single" w:color="F4B58A" w:sz="4" w:space="0"/>
        <w:bottom w:val="single" w:color="F4B58A" w:sz="4" w:space="0"/>
        <w:right w:val="single" w:color="F4B58A" w:sz="4" w:space="0"/>
        <w:insideH w:val="single" w:color="F4B58A" w:sz="4" w:space="0"/>
        <w:insideV w:val="single" w:color="F4B58A" w:sz="4" w:space="0"/>
      </w:tblBorders>
    </w:tblPr>
    <w:tblStylePr w:type="firstRow">
      <w:rPr>
        <w:rFonts w:ascii="等线" w:hAnsi="等线"/>
        <w:b/>
        <w:color w:val="FFFFFF"/>
        <w:sz w:val="22"/>
      </w:rPr>
      <w:tcPr>
        <w:tcBorders>
          <w:top w:val="single" w:color="F4B285" w:sz="4" w:space="0"/>
          <w:left w:val="single" w:color="F4B285" w:sz="4" w:space="0"/>
          <w:bottom w:val="single" w:color="F4B285" w:sz="4" w:space="0"/>
          <w:right w:val="single" w:color="F4B285" w:sz="4" w:space="0"/>
          <w:insideH w:val="nil"/>
          <w:insideV w:val="nil"/>
          <w:tl2br w:val="nil"/>
          <w:tr2bl w:val="nil"/>
        </w:tcBorders>
        <w:shd w:val="clear" w:color="F4B285" w:fill="F4B285"/>
      </w:tcPr>
    </w:tblStylePr>
    <w:tblStylePr w:type="lastRow">
      <w:rPr>
        <w:b/>
        <w:color w:val="404040"/>
      </w:rPr>
      <w:tcPr>
        <w:tcBorders>
          <w:top w:val="single" w:color="F4B285"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BE5D6" w:fill="FBE5D6"/>
      </w:tcPr>
    </w:tblStylePr>
    <w:tblStylePr w:type="band1Horz">
      <w:rPr>
        <w:rFonts w:ascii="等线" w:hAnsi="等线"/>
        <w:color w:val="404040"/>
        <w:sz w:val="22"/>
      </w:rPr>
      <w:tcPr>
        <w:shd w:val="clear" w:color="FBE5D6" w:fill="FBE5D6"/>
      </w:tcPr>
    </w:tblStylePr>
  </w:style>
  <w:style w:type="table" w:customStyle="1" w:styleId="188">
    <w:name w:val="Grid Table 4 - Accent 3"/>
    <w:basedOn w:val="53"/>
    <w:qFormat/>
    <w:uiPriority w:val="59"/>
    <w:tblPr>
      <w:tblBorders>
        <w:top w:val="single" w:color="CCCCCC" w:sz="4" w:space="0"/>
        <w:left w:val="single" w:color="CCCCCC" w:sz="4" w:space="0"/>
        <w:bottom w:val="single" w:color="CCCCCC" w:sz="4" w:space="0"/>
        <w:right w:val="single" w:color="CCCCCC" w:sz="4" w:space="0"/>
        <w:insideH w:val="single" w:color="CCCCCC" w:sz="4" w:space="0"/>
        <w:insideV w:val="single" w:color="CCCCCC" w:sz="4" w:space="0"/>
      </w:tblBorders>
    </w:tblPr>
    <w:tblStylePr w:type="firstRow">
      <w:rPr>
        <w:rFonts w:ascii="等线" w:hAnsi="等线"/>
        <w:b/>
        <w:color w:val="FFFFFF"/>
        <w:sz w:val="22"/>
      </w:rPr>
      <w:tcPr>
        <w:tcBorders>
          <w:top w:val="single" w:color="A5A5A5" w:sz="4" w:space="0"/>
          <w:left w:val="single" w:color="A5A5A5" w:sz="4" w:space="0"/>
          <w:bottom w:val="single" w:color="A5A5A5" w:sz="4" w:space="0"/>
          <w:right w:val="single" w:color="A5A5A5" w:sz="4" w:space="0"/>
          <w:insideH w:val="nil"/>
          <w:insideV w:val="nil"/>
          <w:tl2br w:val="nil"/>
          <w:tr2bl w:val="nil"/>
        </w:tcBorders>
        <w:shd w:val="clear" w:color="A5A5A5" w:fill="A5A5A5"/>
      </w:tcPr>
    </w:tblStylePr>
    <w:tblStylePr w:type="lastRow">
      <w:rPr>
        <w:b/>
        <w:color w:val="404040"/>
      </w:rPr>
      <w:tcPr>
        <w:tcBorders>
          <w:top w:val="single" w:color="A5A5A5"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ECECEC" w:fill="ECECEC"/>
      </w:tcPr>
    </w:tblStylePr>
    <w:tblStylePr w:type="band1Horz">
      <w:rPr>
        <w:rFonts w:ascii="等线" w:hAnsi="等线"/>
        <w:color w:val="404040"/>
        <w:sz w:val="22"/>
      </w:rPr>
      <w:tcPr>
        <w:shd w:val="clear" w:color="ECECEC" w:fill="ECECEC"/>
      </w:tcPr>
    </w:tblStylePr>
  </w:style>
  <w:style w:type="table" w:customStyle="1" w:styleId="189">
    <w:name w:val="Grid Table 4 - Accent 4"/>
    <w:basedOn w:val="53"/>
    <w:qFormat/>
    <w:uiPriority w:val="59"/>
    <w:tblPr>
      <w:tblBorders>
        <w:top w:val="single" w:color="FFDB6E" w:sz="4" w:space="0"/>
        <w:left w:val="single" w:color="FFDB6E" w:sz="4" w:space="0"/>
        <w:bottom w:val="single" w:color="FFDB6E" w:sz="4" w:space="0"/>
        <w:right w:val="single" w:color="FFDB6E" w:sz="4" w:space="0"/>
        <w:insideH w:val="single" w:color="FFDB6E" w:sz="4" w:space="0"/>
        <w:insideV w:val="single" w:color="FFDB6E" w:sz="4" w:space="0"/>
      </w:tblBorders>
    </w:tblPr>
    <w:tblStylePr w:type="firstRow">
      <w:rPr>
        <w:rFonts w:ascii="等线" w:hAnsi="等线"/>
        <w:b/>
        <w:color w:val="FFFFFF"/>
        <w:sz w:val="22"/>
      </w:rPr>
      <w:tcPr>
        <w:tcBorders>
          <w:top w:val="single" w:color="FFD864" w:sz="4" w:space="0"/>
          <w:left w:val="single" w:color="FFD864" w:sz="4" w:space="0"/>
          <w:bottom w:val="single" w:color="FFD864" w:sz="4" w:space="0"/>
          <w:right w:val="single" w:color="FFD864" w:sz="4" w:space="0"/>
          <w:insideH w:val="nil"/>
          <w:insideV w:val="nil"/>
          <w:tl2br w:val="nil"/>
          <w:tr2bl w:val="nil"/>
        </w:tcBorders>
        <w:shd w:val="clear" w:color="FFD864" w:fill="FFD864"/>
      </w:tcPr>
    </w:tblStylePr>
    <w:tblStylePr w:type="lastRow">
      <w:rPr>
        <w:b/>
        <w:color w:val="404040"/>
      </w:rPr>
      <w:tcPr>
        <w:tcBorders>
          <w:top w:val="single" w:color="FFD864"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EF2CA" w:fill="FEF2CA"/>
      </w:tcPr>
    </w:tblStylePr>
    <w:tblStylePr w:type="band1Horz">
      <w:rPr>
        <w:rFonts w:ascii="等线" w:hAnsi="等线"/>
        <w:color w:val="404040"/>
        <w:sz w:val="22"/>
      </w:rPr>
      <w:tcPr>
        <w:shd w:val="clear" w:color="FEF2CA" w:fill="FEF2CA"/>
      </w:tcPr>
    </w:tblStylePr>
  </w:style>
  <w:style w:type="table" w:customStyle="1" w:styleId="190">
    <w:name w:val="Grid Table 4 - Accent 5"/>
    <w:basedOn w:val="53"/>
    <w:qFormat/>
    <w:uiPriority w:val="59"/>
    <w:tblPr>
      <w:tblBorders>
        <w:top w:val="single" w:color="95AFDD" w:sz="4" w:space="0"/>
        <w:left w:val="single" w:color="95AFDD" w:sz="4" w:space="0"/>
        <w:bottom w:val="single" w:color="95AFDD" w:sz="4" w:space="0"/>
        <w:right w:val="single" w:color="95AFDD" w:sz="4" w:space="0"/>
        <w:insideH w:val="single" w:color="95AFDD" w:sz="4" w:space="0"/>
        <w:insideV w:val="single" w:color="95AFDD" w:sz="4" w:space="0"/>
      </w:tblBorders>
    </w:tblPr>
    <w:tblStylePr w:type="firstRow">
      <w:rPr>
        <w:rFonts w:ascii="等线" w:hAnsi="等线"/>
        <w:b/>
        <w:color w:val="FFFFFF"/>
        <w:sz w:val="22"/>
      </w:rPr>
      <w:tcPr>
        <w:tcBorders>
          <w:top w:val="single" w:color="4472C4" w:sz="4" w:space="0"/>
          <w:left w:val="single" w:color="4472C4" w:sz="4" w:space="0"/>
          <w:bottom w:val="single" w:color="4472C4" w:sz="4" w:space="0"/>
          <w:right w:val="single" w:color="4472C4" w:sz="4" w:space="0"/>
          <w:insideH w:val="nil"/>
          <w:insideV w:val="nil"/>
          <w:tl2br w:val="nil"/>
          <w:tr2bl w:val="nil"/>
        </w:tcBorders>
        <w:shd w:val="clear" w:color="4472C4" w:fill="4472C4"/>
      </w:tcPr>
    </w:tblStylePr>
    <w:tblStylePr w:type="lastRow">
      <w:rPr>
        <w:b/>
        <w:color w:val="404040"/>
      </w:rPr>
      <w:tcPr>
        <w:tcBorders>
          <w:top w:val="single" w:color="4472C4"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8E2F2" w:fill="D8E2F2"/>
      </w:tcPr>
    </w:tblStylePr>
    <w:tblStylePr w:type="band1Horz">
      <w:rPr>
        <w:rFonts w:ascii="等线" w:hAnsi="等线"/>
        <w:color w:val="404040"/>
        <w:sz w:val="22"/>
      </w:rPr>
      <w:tcPr>
        <w:shd w:val="clear" w:color="D8E2F2" w:fill="D8E2F2"/>
      </w:tcPr>
    </w:tblStylePr>
  </w:style>
  <w:style w:type="table" w:customStyle="1" w:styleId="191">
    <w:name w:val="Grid Table 4 - Accent 6"/>
    <w:basedOn w:val="53"/>
    <w:qFormat/>
    <w:uiPriority w:val="59"/>
    <w:tblPr>
      <w:tblBorders>
        <w:top w:val="single" w:color="ADD394" w:sz="4" w:space="0"/>
        <w:left w:val="single" w:color="ADD394" w:sz="4" w:space="0"/>
        <w:bottom w:val="single" w:color="ADD394" w:sz="4" w:space="0"/>
        <w:right w:val="single" w:color="ADD394" w:sz="4" w:space="0"/>
        <w:insideH w:val="single" w:color="ADD394" w:sz="4" w:space="0"/>
        <w:insideV w:val="single" w:color="ADD394" w:sz="4" w:space="0"/>
      </w:tblBorders>
    </w:tblPr>
    <w:tblStylePr w:type="firstRow">
      <w:rPr>
        <w:rFonts w:ascii="等线" w:hAnsi="等线"/>
        <w:b/>
        <w:color w:val="FFFFFF"/>
        <w:sz w:val="22"/>
      </w:rPr>
      <w:tcPr>
        <w:tcBorders>
          <w:top w:val="single" w:color="70AD47" w:sz="4" w:space="0"/>
          <w:left w:val="single" w:color="70AD47" w:sz="4" w:space="0"/>
          <w:bottom w:val="single" w:color="70AD47" w:sz="4" w:space="0"/>
          <w:right w:val="single" w:color="70AD47" w:sz="4" w:space="0"/>
          <w:insideH w:val="nil"/>
          <w:insideV w:val="nil"/>
          <w:tl2br w:val="nil"/>
          <w:tr2bl w:val="nil"/>
        </w:tcBorders>
        <w:shd w:val="clear" w:color="70AD47" w:fill="70AD47"/>
      </w:tcPr>
    </w:tblStylePr>
    <w:tblStylePr w:type="lastRow">
      <w:rPr>
        <w:b/>
        <w:color w:val="404040"/>
      </w:rPr>
      <w:tcPr>
        <w:tcBorders>
          <w:top w:val="single" w:color="70AD47"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rPr>
        <w:rFonts w:ascii="等线" w:hAnsi="等线"/>
        <w:color w:val="404040"/>
        <w:sz w:val="22"/>
      </w:rPr>
      <w:tcPr>
        <w:shd w:val="clear" w:color="E1EFD8" w:fill="E1EFD8"/>
      </w:tcPr>
    </w:tblStylePr>
    <w:tblStylePr w:type="band1Horz">
      <w:rPr>
        <w:rFonts w:ascii="等线" w:hAnsi="等线"/>
        <w:color w:val="404040"/>
        <w:sz w:val="22"/>
      </w:rPr>
      <w:tcPr>
        <w:shd w:val="clear" w:color="E1EFD8" w:fill="E1EFD8"/>
      </w:tcPr>
    </w:tblStylePr>
  </w:style>
  <w:style w:type="table" w:customStyle="1" w:styleId="192">
    <w:name w:val="Grid Table 5 Dark- Accent 1"/>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5B9BD5" w:fill="5B9BD5"/>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5B9BD5" w:fill="5B9BD5"/>
      </w:tcPr>
    </w:tblStylePr>
    <w:tblStylePr w:type="firstCol">
      <w:rPr>
        <w:rFonts w:ascii="等线" w:hAnsi="等线"/>
        <w:b/>
        <w:color w:val="FFFFFF"/>
        <w:sz w:val="22"/>
      </w:rPr>
      <w:tcPr>
        <w:shd w:val="clear" w:color="5B9BD5" w:fill="5B9BD5"/>
      </w:tcPr>
    </w:tblStylePr>
    <w:tblStylePr w:type="lastCol">
      <w:rPr>
        <w:rFonts w:ascii="等线" w:hAnsi="等线"/>
        <w:b/>
        <w:color w:val="FFFFFF"/>
        <w:sz w:val="22"/>
      </w:rPr>
      <w:tcPr>
        <w:shd w:val="clear" w:color="5B9BD5" w:fill="5B9BD5"/>
      </w:tcPr>
    </w:tblStylePr>
    <w:tblStylePr w:type="band1Vert">
      <w:tcPr>
        <w:shd w:val="clear" w:color="B3D1EB" w:fill="B3D1EB"/>
      </w:tcPr>
    </w:tblStylePr>
    <w:tblStylePr w:type="band1Horz">
      <w:tcPr>
        <w:shd w:val="clear" w:color="B3D1EB" w:fill="B3D1EB"/>
      </w:tcPr>
    </w:tblStylePr>
  </w:style>
  <w:style w:type="table" w:customStyle="1" w:styleId="193">
    <w:name w:val="Grid Table 5 Dark - Accent 2"/>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ED7D31" w:fill="ED7D31"/>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ED7D31" w:fill="ED7D31"/>
      </w:tcPr>
    </w:tblStylePr>
    <w:tblStylePr w:type="firstCol">
      <w:rPr>
        <w:rFonts w:ascii="等线" w:hAnsi="等线"/>
        <w:b/>
        <w:color w:val="FFFFFF"/>
        <w:sz w:val="22"/>
      </w:rPr>
      <w:tcPr>
        <w:shd w:val="clear" w:color="ED7D31" w:fill="ED7D31"/>
      </w:tcPr>
    </w:tblStylePr>
    <w:tblStylePr w:type="lastCol">
      <w:rPr>
        <w:rFonts w:ascii="等线" w:hAnsi="等线"/>
        <w:b/>
        <w:color w:val="FFFFFF"/>
        <w:sz w:val="22"/>
      </w:rPr>
      <w:tcPr>
        <w:shd w:val="clear" w:color="ED7D31" w:fill="ED7D31"/>
      </w:tcPr>
    </w:tblStylePr>
    <w:tblStylePr w:type="band1Vert">
      <w:tcPr>
        <w:shd w:val="clear" w:color="F6C3A0" w:fill="F6C3A0"/>
      </w:tcPr>
    </w:tblStylePr>
    <w:tblStylePr w:type="band1Horz">
      <w:tcPr>
        <w:shd w:val="clear" w:color="F6C3A0" w:fill="F6C3A0"/>
      </w:tcPr>
    </w:tblStylePr>
  </w:style>
  <w:style w:type="table" w:customStyle="1" w:styleId="194">
    <w:name w:val="Grid Table 5 Dark - Accent 3"/>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A5A5A5" w:fill="A5A5A5"/>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A5A5A5" w:fill="A5A5A5"/>
      </w:tcPr>
    </w:tblStylePr>
    <w:tblStylePr w:type="firstCol">
      <w:rPr>
        <w:rFonts w:ascii="等线" w:hAnsi="等线"/>
        <w:b/>
        <w:color w:val="FFFFFF"/>
        <w:sz w:val="22"/>
      </w:rPr>
      <w:tcPr>
        <w:shd w:val="clear" w:color="A5A5A5" w:fill="A5A5A5"/>
      </w:tcPr>
    </w:tblStylePr>
    <w:tblStylePr w:type="lastCol">
      <w:rPr>
        <w:rFonts w:ascii="等线" w:hAnsi="等线"/>
        <w:b/>
        <w:color w:val="FFFFFF"/>
        <w:sz w:val="22"/>
      </w:rPr>
      <w:tcPr>
        <w:shd w:val="clear" w:color="A5A5A5" w:fill="A5A5A5"/>
      </w:tcPr>
    </w:tblStylePr>
    <w:tblStylePr w:type="band1Vert">
      <w:tcPr>
        <w:shd w:val="clear" w:color="D5D5D5" w:fill="D5D5D5"/>
      </w:tcPr>
    </w:tblStylePr>
    <w:tblStylePr w:type="band1Horz">
      <w:tcPr>
        <w:shd w:val="clear" w:color="D5D5D5" w:fill="D5D5D5"/>
      </w:tcPr>
    </w:tblStylePr>
  </w:style>
  <w:style w:type="table" w:customStyle="1" w:styleId="195">
    <w:name w:val="Grid Table 5 Dark- Accent 4"/>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FFC000" w:fill="FFC000"/>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FFC000" w:fill="FFC000"/>
      </w:tcPr>
    </w:tblStylePr>
    <w:tblStylePr w:type="firstCol">
      <w:rPr>
        <w:rFonts w:ascii="等线" w:hAnsi="等线"/>
        <w:b/>
        <w:color w:val="FFFFFF"/>
        <w:sz w:val="22"/>
      </w:rPr>
      <w:tcPr>
        <w:shd w:val="clear" w:color="FFC000" w:fill="FFC000"/>
      </w:tcPr>
    </w:tblStylePr>
    <w:tblStylePr w:type="lastCol">
      <w:rPr>
        <w:rFonts w:ascii="等线" w:hAnsi="等线"/>
        <w:b/>
        <w:color w:val="FFFFFF"/>
        <w:sz w:val="22"/>
      </w:rPr>
      <w:tcPr>
        <w:shd w:val="clear" w:color="FFC000" w:fill="FFC000"/>
      </w:tcPr>
    </w:tblStylePr>
    <w:tblStylePr w:type="band1Vert">
      <w:tcPr>
        <w:shd w:val="clear" w:color="FEE289" w:fill="FEE289"/>
      </w:tcPr>
    </w:tblStylePr>
    <w:tblStylePr w:type="band1Horz">
      <w:tcPr>
        <w:shd w:val="clear" w:color="FEE289" w:fill="FEE289"/>
      </w:tcPr>
    </w:tblStylePr>
  </w:style>
  <w:style w:type="table" w:customStyle="1" w:styleId="196">
    <w:name w:val="Grid Table 5 Dark - Accent 5"/>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4472C4" w:fill="4472C4"/>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4472C4" w:fill="4472C4"/>
      </w:tcPr>
    </w:tblStylePr>
    <w:tblStylePr w:type="firstCol">
      <w:rPr>
        <w:rFonts w:ascii="等线" w:hAnsi="等线"/>
        <w:b/>
        <w:color w:val="FFFFFF"/>
        <w:sz w:val="22"/>
      </w:rPr>
      <w:tcPr>
        <w:shd w:val="clear" w:color="4472C4" w:fill="4472C4"/>
      </w:tcPr>
    </w:tblStylePr>
    <w:tblStylePr w:type="lastCol">
      <w:rPr>
        <w:rFonts w:ascii="等线" w:hAnsi="等线"/>
        <w:b/>
        <w:color w:val="FFFFFF"/>
        <w:sz w:val="22"/>
      </w:rPr>
      <w:tcPr>
        <w:shd w:val="clear" w:color="4472C4" w:fill="4472C4"/>
      </w:tcPr>
    </w:tblStylePr>
    <w:tblStylePr w:type="band1Vert">
      <w:tcPr>
        <w:shd w:val="clear" w:color="A9BEE3" w:fill="A9BEE3"/>
      </w:tcPr>
    </w:tblStylePr>
    <w:tblStylePr w:type="band1Horz">
      <w:tcPr>
        <w:shd w:val="clear" w:color="A9BEE3" w:fill="A9BEE3"/>
      </w:tcPr>
    </w:tblStylePr>
  </w:style>
  <w:style w:type="table" w:customStyle="1" w:styleId="197">
    <w:name w:val="Grid Table 5 Dark - Accent 6"/>
    <w:basedOn w:val="53"/>
    <w:qFormat/>
    <w:uiPriority w:val="99"/>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等线" w:hAnsi="等线"/>
        <w:b/>
        <w:color w:val="FFFFFF"/>
        <w:sz w:val="22"/>
      </w:rPr>
      <w:tcPr>
        <w:shd w:val="clear" w:color="70AD47" w:fill="70AD47"/>
      </w:tcPr>
    </w:tblStylePr>
    <w:tblStylePr w:type="lastRow">
      <w:rPr>
        <w:rFonts w:ascii="等线" w:hAnsi="等线"/>
        <w:b/>
        <w:color w:val="FFFFFF"/>
        <w:sz w:val="22"/>
      </w:rPr>
      <w:tcPr>
        <w:tcBorders>
          <w:top w:val="single" w:color="FFFFFF" w:sz="4" w:space="0"/>
          <w:left w:val="nil"/>
          <w:bottom w:val="nil"/>
          <w:right w:val="nil"/>
          <w:insideH w:val="nil"/>
          <w:insideV w:val="nil"/>
          <w:tl2br w:val="nil"/>
          <w:tr2bl w:val="nil"/>
        </w:tcBorders>
        <w:shd w:val="clear" w:color="70AD47" w:fill="70AD47"/>
      </w:tcPr>
    </w:tblStylePr>
    <w:tblStylePr w:type="firstCol">
      <w:rPr>
        <w:rFonts w:ascii="等线" w:hAnsi="等线"/>
        <w:b/>
        <w:color w:val="FFFFFF"/>
        <w:sz w:val="22"/>
      </w:rPr>
      <w:tcPr>
        <w:shd w:val="clear" w:color="70AD47" w:fill="70AD47"/>
      </w:tcPr>
    </w:tblStylePr>
    <w:tblStylePr w:type="lastCol">
      <w:rPr>
        <w:rFonts w:ascii="等线" w:hAnsi="等线"/>
        <w:b/>
        <w:color w:val="FFFFFF"/>
        <w:sz w:val="22"/>
      </w:rPr>
      <w:tcPr>
        <w:shd w:val="clear" w:color="70AD47" w:fill="70AD47"/>
      </w:tcPr>
    </w:tblStylePr>
    <w:tblStylePr w:type="band1Vert">
      <w:tcPr>
        <w:shd w:val="clear" w:color="BCDBA8" w:fill="BCDBA8"/>
      </w:tcPr>
    </w:tblStylePr>
    <w:tblStylePr w:type="band1Horz">
      <w:tcPr>
        <w:shd w:val="clear" w:color="BCDBA8" w:fill="BCDBA8"/>
      </w:tcPr>
    </w:tblStylePr>
  </w:style>
  <w:style w:type="table" w:customStyle="1" w:styleId="198">
    <w:name w:val="Grid Table 6 Colorful - Accent 1"/>
    <w:basedOn w:val="53"/>
    <w:qFormat/>
    <w:uiPriority w:val="99"/>
    <w:tblPr>
      <w:tblBorders>
        <w:top w:val="single" w:color="ACCCE9" w:sz="4" w:space="0"/>
        <w:left w:val="single" w:color="ACCCE9" w:sz="4" w:space="0"/>
        <w:bottom w:val="single" w:color="ACCCE9" w:sz="4" w:space="0"/>
        <w:right w:val="single" w:color="ACCCE9" w:sz="4" w:space="0"/>
        <w:insideH w:val="single" w:color="ACCCE9" w:sz="4" w:space="0"/>
        <w:insideV w:val="single" w:color="ACCCE9" w:sz="4" w:space="0"/>
      </w:tblBorders>
    </w:tblPr>
    <w:tblStylePr w:type="firstRow">
      <w:rPr>
        <w:b/>
        <w:color w:val="ADCDEA"/>
      </w:rPr>
      <w:tcPr>
        <w:tcBorders>
          <w:top w:val="nil"/>
          <w:left w:val="nil"/>
          <w:bottom w:val="single" w:color="ACCCE9" w:sz="12" w:space="0"/>
          <w:right w:val="nil"/>
          <w:insideH w:val="nil"/>
          <w:insideV w:val="nil"/>
          <w:tl2br w:val="nil"/>
          <w:tr2bl w:val="nil"/>
        </w:tcBorders>
      </w:tcPr>
    </w:tblStylePr>
    <w:tblStylePr w:type="lastRow">
      <w:rPr>
        <w:b/>
        <w:color w:val="ADCDEA"/>
      </w:rPr>
    </w:tblStylePr>
    <w:tblStylePr w:type="firstCol">
      <w:rPr>
        <w:b/>
        <w:color w:val="ADCDEA"/>
      </w:rPr>
    </w:tblStylePr>
    <w:tblStylePr w:type="lastCol">
      <w:rPr>
        <w:b/>
        <w:color w:val="ADCDEA"/>
      </w:rPr>
    </w:tblStylePr>
    <w:tblStylePr w:type="band1Vert">
      <w:tcPr>
        <w:shd w:val="clear" w:color="DDEAF6" w:fill="DDEAF6"/>
      </w:tcPr>
    </w:tblStylePr>
    <w:tblStylePr w:type="band1Horz">
      <w:rPr>
        <w:rFonts w:ascii="等线" w:hAnsi="等线"/>
        <w:color w:val="ADCDEA"/>
        <w:sz w:val="22"/>
      </w:rPr>
      <w:tcPr>
        <w:shd w:val="clear" w:color="DDEAF6" w:fill="DDEAF6"/>
      </w:tcPr>
    </w:tblStylePr>
    <w:tblStylePr w:type="band2Horz">
      <w:rPr>
        <w:rFonts w:ascii="等线" w:hAnsi="等线"/>
        <w:color w:val="ADCDEA"/>
        <w:sz w:val="22"/>
      </w:rPr>
    </w:tblStylePr>
  </w:style>
  <w:style w:type="table" w:customStyle="1" w:styleId="199">
    <w:name w:val="Grid Table 6 Colorful - Accent 2"/>
    <w:basedOn w:val="53"/>
    <w:qFormat/>
    <w:uiPriority w:val="99"/>
    <w:tblPr>
      <w:tblBorders>
        <w:top w:val="single" w:color="F4B285" w:sz="4" w:space="0"/>
        <w:left w:val="single" w:color="F4B285" w:sz="4" w:space="0"/>
        <w:bottom w:val="single" w:color="F4B285" w:sz="4" w:space="0"/>
        <w:right w:val="single" w:color="F4B285" w:sz="4" w:space="0"/>
        <w:insideH w:val="single" w:color="F4B285" w:sz="4" w:space="0"/>
        <w:insideV w:val="single" w:color="F4B285" w:sz="4" w:space="0"/>
      </w:tblBorders>
    </w:tblPr>
    <w:tblStylePr w:type="firstRow">
      <w:rPr>
        <w:b/>
        <w:color w:val="F4B285"/>
      </w:rPr>
      <w:tcPr>
        <w:tcBorders>
          <w:top w:val="nil"/>
          <w:left w:val="nil"/>
          <w:bottom w:val="single" w:color="F4B285" w:sz="12" w:space="0"/>
          <w:right w:val="nil"/>
          <w:insideH w:val="nil"/>
          <w:insideV w:val="nil"/>
          <w:tl2br w:val="nil"/>
          <w:tr2bl w:val="nil"/>
        </w:tcBorders>
      </w:tcPr>
    </w:tblStylePr>
    <w:tblStylePr w:type="lastRow">
      <w:rPr>
        <w:b/>
        <w:color w:val="F4B285"/>
      </w:rPr>
    </w:tblStylePr>
    <w:tblStylePr w:type="firstCol">
      <w:rPr>
        <w:b/>
        <w:color w:val="F4B285"/>
      </w:rPr>
    </w:tblStylePr>
    <w:tblStylePr w:type="lastCol">
      <w:rPr>
        <w:b/>
        <w:color w:val="F4B285"/>
      </w:rPr>
    </w:tblStylePr>
    <w:tblStylePr w:type="band1Vert">
      <w:tcPr>
        <w:shd w:val="clear" w:color="FBE5D6" w:fill="FBE5D6"/>
      </w:tcPr>
    </w:tblStylePr>
    <w:tblStylePr w:type="band1Horz">
      <w:rPr>
        <w:rFonts w:ascii="等线" w:hAnsi="等线"/>
        <w:color w:val="F4B285"/>
        <w:sz w:val="22"/>
      </w:rPr>
      <w:tcPr>
        <w:shd w:val="clear" w:color="FBE5D6" w:fill="FBE5D6"/>
      </w:tcPr>
    </w:tblStylePr>
    <w:tblStylePr w:type="band2Horz">
      <w:rPr>
        <w:rFonts w:ascii="等线" w:hAnsi="等线"/>
        <w:color w:val="F4B285"/>
        <w:sz w:val="22"/>
      </w:rPr>
    </w:tblStylePr>
  </w:style>
  <w:style w:type="table" w:customStyle="1" w:styleId="200">
    <w:name w:val="Grid Table 6 Colorful - Accent 3"/>
    <w:basedOn w:val="53"/>
    <w:qFormat/>
    <w:uiPriority w:val="99"/>
    <w:tblP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Pr>
    <w:tblStylePr w:type="firstRow">
      <w:rPr>
        <w:b/>
        <w:color w:val="A5A5A5"/>
      </w:rPr>
      <w:tcPr>
        <w:tcBorders>
          <w:top w:val="nil"/>
          <w:left w:val="nil"/>
          <w:bottom w:val="single" w:color="A5A5A5" w:sz="12" w:space="0"/>
          <w:right w:val="nil"/>
          <w:insideH w:val="nil"/>
          <w:insideV w:val="nil"/>
          <w:tl2br w:val="nil"/>
          <w:tr2bl w:val="nil"/>
        </w:tcBorders>
      </w:tcPr>
    </w:tblStylePr>
    <w:tblStylePr w:type="lastRow">
      <w:rPr>
        <w:b/>
        <w:color w:val="A5A5A5"/>
      </w:rPr>
    </w:tblStylePr>
    <w:tblStylePr w:type="firstCol">
      <w:rPr>
        <w:b/>
        <w:color w:val="A5A5A5"/>
      </w:rPr>
    </w:tblStylePr>
    <w:tblStylePr w:type="lastCol">
      <w:rPr>
        <w:b/>
        <w:color w:val="A5A5A5"/>
      </w:rPr>
    </w:tblStylePr>
    <w:tblStylePr w:type="band1Vert">
      <w:tcPr>
        <w:shd w:val="clear" w:color="ECECEC" w:fill="ECECEC"/>
      </w:tcPr>
    </w:tblStylePr>
    <w:tblStylePr w:type="band1Horz">
      <w:rPr>
        <w:rFonts w:ascii="等线" w:hAnsi="等线"/>
        <w:color w:val="A5A5A5"/>
        <w:sz w:val="22"/>
      </w:rPr>
      <w:tcPr>
        <w:shd w:val="clear" w:color="ECECEC" w:fill="ECECEC"/>
      </w:tcPr>
    </w:tblStylePr>
    <w:tblStylePr w:type="band2Horz">
      <w:rPr>
        <w:rFonts w:ascii="等线" w:hAnsi="等线"/>
        <w:color w:val="A5A5A5"/>
        <w:sz w:val="22"/>
      </w:rPr>
    </w:tblStylePr>
  </w:style>
  <w:style w:type="table" w:customStyle="1" w:styleId="201">
    <w:name w:val="Grid Table 6 Colorful - Accent 4"/>
    <w:basedOn w:val="53"/>
    <w:qFormat/>
    <w:uiPriority w:val="99"/>
    <w:tblPr>
      <w:tblBorders>
        <w:top w:val="single" w:color="FFD864" w:sz="4" w:space="0"/>
        <w:left w:val="single" w:color="FFD864" w:sz="4" w:space="0"/>
        <w:bottom w:val="single" w:color="FFD864" w:sz="4" w:space="0"/>
        <w:right w:val="single" w:color="FFD864" w:sz="4" w:space="0"/>
        <w:insideH w:val="single" w:color="FFD864" w:sz="4" w:space="0"/>
        <w:insideV w:val="single" w:color="FFD864" w:sz="4" w:space="0"/>
      </w:tblBorders>
    </w:tblPr>
    <w:tblStylePr w:type="firstRow">
      <w:rPr>
        <w:b/>
        <w:color w:val="FFD965"/>
      </w:rPr>
      <w:tcPr>
        <w:tcBorders>
          <w:top w:val="nil"/>
          <w:left w:val="nil"/>
          <w:bottom w:val="single" w:color="FFD864" w:sz="12" w:space="0"/>
          <w:right w:val="nil"/>
          <w:insideH w:val="nil"/>
          <w:insideV w:val="nil"/>
          <w:tl2br w:val="nil"/>
          <w:tr2bl w:val="nil"/>
        </w:tcBorders>
      </w:tcPr>
    </w:tblStylePr>
    <w:tblStylePr w:type="lastRow">
      <w:rPr>
        <w:b/>
        <w:color w:val="FFD965"/>
      </w:rPr>
    </w:tblStylePr>
    <w:tblStylePr w:type="firstCol">
      <w:rPr>
        <w:b/>
        <w:color w:val="FFD965"/>
      </w:rPr>
    </w:tblStylePr>
    <w:tblStylePr w:type="lastCol">
      <w:rPr>
        <w:b/>
        <w:color w:val="FFD965"/>
      </w:rPr>
    </w:tblStylePr>
    <w:tblStylePr w:type="band1Vert">
      <w:tcPr>
        <w:shd w:val="clear" w:color="FEF2CA" w:fill="FEF2CA"/>
      </w:tcPr>
    </w:tblStylePr>
    <w:tblStylePr w:type="band1Horz">
      <w:rPr>
        <w:rFonts w:ascii="等线" w:hAnsi="等线"/>
        <w:color w:val="FFD965"/>
        <w:sz w:val="22"/>
      </w:rPr>
      <w:tcPr>
        <w:shd w:val="clear" w:color="FEF2CA" w:fill="FEF2CA"/>
      </w:tcPr>
    </w:tblStylePr>
    <w:tblStylePr w:type="band2Horz">
      <w:rPr>
        <w:rFonts w:ascii="等线" w:hAnsi="等线"/>
        <w:color w:val="FFD965"/>
        <w:sz w:val="22"/>
      </w:rPr>
    </w:tblStylePr>
  </w:style>
  <w:style w:type="table" w:customStyle="1" w:styleId="202">
    <w:name w:val="Grid Table 6 Colorful - Accent 5"/>
    <w:basedOn w:val="53"/>
    <w:qFormat/>
    <w:uiPriority w:val="99"/>
    <w:tblPr>
      <w:tblBorders>
        <w:top w:val="single" w:color="4472C4" w:sz="4" w:space="0"/>
        <w:left w:val="single" w:color="4472C4" w:sz="4" w:space="0"/>
        <w:bottom w:val="single" w:color="4472C4" w:sz="4" w:space="0"/>
        <w:right w:val="single" w:color="4472C4" w:sz="4" w:space="0"/>
        <w:insideH w:val="single" w:color="4472C4" w:sz="4" w:space="0"/>
        <w:insideV w:val="single" w:color="4472C4" w:sz="4" w:space="0"/>
      </w:tblBorders>
    </w:tblPr>
    <w:tblStylePr w:type="firstRow">
      <w:rPr>
        <w:b/>
        <w:color w:val="244174"/>
      </w:rPr>
      <w:tcPr>
        <w:tcBorders>
          <w:top w:val="nil"/>
          <w:left w:val="nil"/>
          <w:bottom w:val="single" w:color="4472C4" w:sz="12" w:space="0"/>
          <w:right w:val="nil"/>
          <w:insideH w:val="nil"/>
          <w:insideV w:val="nil"/>
          <w:tl2br w:val="nil"/>
          <w:tr2bl w:val="nil"/>
        </w:tcBorders>
      </w:tcPr>
    </w:tblStylePr>
    <w:tblStylePr w:type="lastRow">
      <w:rPr>
        <w:b/>
        <w:color w:val="244174"/>
      </w:rPr>
    </w:tblStylePr>
    <w:tblStylePr w:type="firstCol">
      <w:rPr>
        <w:b/>
        <w:color w:val="244174"/>
      </w:rPr>
    </w:tblStylePr>
    <w:tblStylePr w:type="lastCol">
      <w:rPr>
        <w:b/>
        <w:color w:val="244174"/>
      </w:rPr>
    </w:tblStylePr>
    <w:tblStylePr w:type="band1Vert">
      <w:tcPr>
        <w:shd w:val="clear" w:color="D8E2F2" w:fill="D8E2F2"/>
      </w:tcPr>
    </w:tblStylePr>
    <w:tblStylePr w:type="band1Horz">
      <w:rPr>
        <w:rFonts w:ascii="等线" w:hAnsi="等线"/>
        <w:color w:val="244174"/>
        <w:sz w:val="22"/>
      </w:rPr>
      <w:tcPr>
        <w:shd w:val="clear" w:color="D8E2F2" w:fill="D8E2F2"/>
      </w:tcPr>
    </w:tblStylePr>
    <w:tblStylePr w:type="band2Horz">
      <w:rPr>
        <w:rFonts w:ascii="等线" w:hAnsi="等线"/>
        <w:color w:val="244174"/>
        <w:sz w:val="22"/>
      </w:rPr>
    </w:tblStylePr>
  </w:style>
  <w:style w:type="table" w:customStyle="1" w:styleId="203">
    <w:name w:val="Grid Table 6 Colorful - Accent 6"/>
    <w:basedOn w:val="53"/>
    <w:qFormat/>
    <w:uiPriority w:val="99"/>
    <w:tblPr>
      <w:tblBorders>
        <w:top w:val="single" w:color="70AD47" w:sz="4" w:space="0"/>
        <w:left w:val="single" w:color="70AD47" w:sz="4" w:space="0"/>
        <w:bottom w:val="single" w:color="70AD47" w:sz="4" w:space="0"/>
        <w:right w:val="single" w:color="70AD47" w:sz="4" w:space="0"/>
        <w:insideH w:val="single" w:color="70AD47" w:sz="4" w:space="0"/>
        <w:insideV w:val="single" w:color="70AD47" w:sz="4" w:space="0"/>
      </w:tblBorders>
    </w:tblPr>
    <w:tblStylePr w:type="firstRow">
      <w:rPr>
        <w:b/>
        <w:color w:val="244174"/>
      </w:rPr>
      <w:tcPr>
        <w:tcBorders>
          <w:top w:val="nil"/>
          <w:left w:val="nil"/>
          <w:bottom w:val="single" w:color="70AD47" w:sz="12" w:space="0"/>
          <w:right w:val="nil"/>
          <w:insideH w:val="nil"/>
          <w:insideV w:val="nil"/>
          <w:tl2br w:val="nil"/>
          <w:tr2bl w:val="nil"/>
        </w:tcBorders>
      </w:tcPr>
    </w:tblStylePr>
    <w:tblStylePr w:type="lastRow">
      <w:rPr>
        <w:b/>
        <w:color w:val="244174"/>
      </w:rPr>
    </w:tblStylePr>
    <w:tblStylePr w:type="firstCol">
      <w:rPr>
        <w:b/>
        <w:color w:val="244174"/>
      </w:rPr>
    </w:tblStylePr>
    <w:tblStylePr w:type="lastCol">
      <w:rPr>
        <w:b/>
        <w:color w:val="244174"/>
      </w:rPr>
    </w:tblStylePr>
    <w:tblStylePr w:type="band1Vert">
      <w:tcPr>
        <w:shd w:val="clear" w:color="E1EFD8" w:fill="E1EFD8"/>
      </w:tcPr>
    </w:tblStylePr>
    <w:tblStylePr w:type="band1Horz">
      <w:rPr>
        <w:rFonts w:ascii="等线" w:hAnsi="等线"/>
        <w:color w:val="244174"/>
        <w:sz w:val="22"/>
      </w:rPr>
      <w:tcPr>
        <w:shd w:val="clear" w:color="E1EFD8" w:fill="E1EFD8"/>
      </w:tcPr>
    </w:tblStylePr>
    <w:tblStylePr w:type="band2Horz">
      <w:rPr>
        <w:rFonts w:ascii="等线" w:hAnsi="等线"/>
        <w:color w:val="244174"/>
        <w:sz w:val="22"/>
      </w:rPr>
    </w:tblStylePr>
  </w:style>
  <w:style w:type="table" w:customStyle="1" w:styleId="204">
    <w:name w:val="Grid Table 7 Colorful - Accent 1"/>
    <w:basedOn w:val="53"/>
    <w:qFormat/>
    <w:uiPriority w:val="99"/>
    <w:tblPr>
      <w:tblBorders>
        <w:bottom w:val="single" w:color="ACCCE9" w:sz="4" w:space="0"/>
        <w:right w:val="single" w:color="ACCCE9" w:sz="4" w:space="0"/>
        <w:insideH w:val="single" w:color="ACCCE9" w:sz="4" w:space="0"/>
        <w:insideV w:val="single" w:color="ACCCE9" w:sz="4" w:space="0"/>
      </w:tblBorders>
    </w:tblPr>
    <w:tblStylePr w:type="firstRow">
      <w:rPr>
        <w:rFonts w:ascii="等线" w:hAnsi="等线"/>
        <w:b/>
        <w:color w:val="ADCDEA"/>
        <w:sz w:val="22"/>
      </w:rPr>
      <w:tcPr>
        <w:tcBorders>
          <w:top w:val="nil"/>
          <w:left w:val="nil"/>
          <w:bottom w:val="single" w:color="ACCCE9" w:sz="4" w:space="0"/>
          <w:right w:val="nil"/>
          <w:insideH w:val="nil"/>
          <w:insideV w:val="nil"/>
          <w:tl2br w:val="nil"/>
          <w:tr2bl w:val="nil"/>
        </w:tcBorders>
        <w:shd w:val="clear" w:color="FFFFFF" w:fill="FFFFFF"/>
      </w:tcPr>
    </w:tblStylePr>
    <w:tblStylePr w:type="lastRow">
      <w:rPr>
        <w:rFonts w:ascii="等线" w:hAnsi="等线"/>
        <w:b/>
        <w:color w:val="ADCDEA"/>
        <w:sz w:val="22"/>
      </w:rPr>
      <w:tcPr>
        <w:tcBorders>
          <w:top w:val="single" w:color="ACCCE9"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ADCDEA"/>
        <w:sz w:val="22"/>
      </w:rPr>
      <w:tcPr>
        <w:tcBorders>
          <w:top w:val="nil"/>
          <w:left w:val="nil"/>
          <w:bottom w:val="nil"/>
          <w:right w:val="single" w:color="ACCCE9" w:sz="4" w:space="0"/>
          <w:insideH w:val="nil"/>
          <w:insideV w:val="nil"/>
          <w:tl2br w:val="nil"/>
          <w:tr2bl w:val="nil"/>
        </w:tcBorders>
        <w:shd w:val="clear" w:color="FFFFFF" w:fill="auto"/>
      </w:tcPr>
    </w:tblStylePr>
    <w:tblStylePr w:type="lastCol">
      <w:rPr>
        <w:rFonts w:ascii="等线" w:hAnsi="等线"/>
        <w:i/>
        <w:color w:val="ADCDEA"/>
        <w:sz w:val="22"/>
      </w:rPr>
      <w:tcPr>
        <w:tcBorders>
          <w:top w:val="nil"/>
          <w:left w:val="single" w:color="ACCCE9" w:sz="4" w:space="0"/>
          <w:bottom w:val="nil"/>
          <w:right w:val="nil"/>
          <w:insideH w:val="nil"/>
          <w:insideV w:val="nil"/>
          <w:tl2br w:val="nil"/>
          <w:tr2bl w:val="nil"/>
        </w:tcBorders>
        <w:shd w:val="clear" w:color="FFFFFF" w:fill="auto"/>
      </w:tcPr>
    </w:tblStylePr>
    <w:tblStylePr w:type="band1Vert">
      <w:tcPr>
        <w:shd w:val="clear" w:color="DDEAF6" w:fill="DDEAF6"/>
      </w:tcPr>
    </w:tblStylePr>
    <w:tblStylePr w:type="band1Horz">
      <w:rPr>
        <w:rFonts w:ascii="等线" w:hAnsi="等线"/>
        <w:color w:val="ADCDEA"/>
        <w:sz w:val="22"/>
      </w:rPr>
      <w:tcPr>
        <w:shd w:val="clear" w:color="DDEAF6" w:fill="DDEAF6"/>
      </w:tcPr>
    </w:tblStylePr>
    <w:tblStylePr w:type="band2Horz">
      <w:rPr>
        <w:rFonts w:ascii="等线" w:hAnsi="等线"/>
        <w:color w:val="ADCDEA"/>
        <w:sz w:val="22"/>
      </w:rPr>
    </w:tblStylePr>
  </w:style>
  <w:style w:type="table" w:customStyle="1" w:styleId="205">
    <w:name w:val="Grid Table 7 Colorful - Accent 2"/>
    <w:basedOn w:val="53"/>
    <w:qFormat/>
    <w:uiPriority w:val="99"/>
    <w:tblPr>
      <w:tblBorders>
        <w:bottom w:val="single" w:color="F4B285" w:sz="4" w:space="0"/>
        <w:right w:val="single" w:color="F4B285" w:sz="4" w:space="0"/>
        <w:insideH w:val="single" w:color="F4B285" w:sz="4" w:space="0"/>
        <w:insideV w:val="single" w:color="F4B285" w:sz="4" w:space="0"/>
      </w:tblBorders>
    </w:tblPr>
    <w:tblStylePr w:type="firstRow">
      <w:rPr>
        <w:rFonts w:ascii="等线" w:hAnsi="等线"/>
        <w:b/>
        <w:color w:val="F4B285"/>
        <w:sz w:val="22"/>
      </w:rPr>
      <w:tcPr>
        <w:tcBorders>
          <w:top w:val="nil"/>
          <w:left w:val="nil"/>
          <w:bottom w:val="single" w:color="F4B285" w:sz="4" w:space="0"/>
          <w:right w:val="nil"/>
          <w:insideH w:val="nil"/>
          <w:insideV w:val="nil"/>
          <w:tl2br w:val="nil"/>
          <w:tr2bl w:val="nil"/>
        </w:tcBorders>
        <w:shd w:val="clear" w:color="FFFFFF" w:fill="FFFFFF"/>
      </w:tcPr>
    </w:tblStylePr>
    <w:tblStylePr w:type="lastRow">
      <w:rPr>
        <w:rFonts w:ascii="等线" w:hAnsi="等线"/>
        <w:b/>
        <w:color w:val="F4B285"/>
        <w:sz w:val="22"/>
      </w:rPr>
      <w:tcPr>
        <w:tcBorders>
          <w:top w:val="single" w:color="F4B285"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F4B285"/>
        <w:sz w:val="22"/>
      </w:rPr>
      <w:tcPr>
        <w:tcBorders>
          <w:top w:val="nil"/>
          <w:left w:val="nil"/>
          <w:bottom w:val="nil"/>
          <w:right w:val="single" w:color="F4B285" w:sz="4" w:space="0"/>
          <w:insideH w:val="nil"/>
          <w:insideV w:val="nil"/>
          <w:tl2br w:val="nil"/>
          <w:tr2bl w:val="nil"/>
        </w:tcBorders>
        <w:shd w:val="clear" w:color="FFFFFF" w:fill="auto"/>
      </w:tcPr>
    </w:tblStylePr>
    <w:tblStylePr w:type="lastCol">
      <w:rPr>
        <w:rFonts w:ascii="等线" w:hAnsi="等线"/>
        <w:i/>
        <w:color w:val="F4B285"/>
        <w:sz w:val="22"/>
      </w:rPr>
      <w:tcPr>
        <w:tcBorders>
          <w:top w:val="nil"/>
          <w:left w:val="single" w:color="F4B285" w:sz="4" w:space="0"/>
          <w:bottom w:val="nil"/>
          <w:right w:val="nil"/>
          <w:insideH w:val="nil"/>
          <w:insideV w:val="nil"/>
          <w:tl2br w:val="nil"/>
          <w:tr2bl w:val="nil"/>
        </w:tcBorders>
        <w:shd w:val="clear" w:color="FFFFFF" w:fill="auto"/>
      </w:tcPr>
    </w:tblStylePr>
    <w:tblStylePr w:type="band1Vert">
      <w:tcPr>
        <w:shd w:val="clear" w:color="FBE5D6" w:fill="FBE5D6"/>
      </w:tcPr>
    </w:tblStylePr>
    <w:tblStylePr w:type="band1Horz">
      <w:rPr>
        <w:rFonts w:ascii="等线" w:hAnsi="等线"/>
        <w:color w:val="F4B285"/>
        <w:sz w:val="22"/>
      </w:rPr>
      <w:tcPr>
        <w:shd w:val="clear" w:color="FBE5D6" w:fill="FBE5D6"/>
      </w:tcPr>
    </w:tblStylePr>
    <w:tblStylePr w:type="band2Horz">
      <w:rPr>
        <w:rFonts w:ascii="等线" w:hAnsi="等线"/>
        <w:color w:val="F4B285"/>
        <w:sz w:val="22"/>
      </w:rPr>
    </w:tblStylePr>
  </w:style>
  <w:style w:type="table" w:customStyle="1" w:styleId="206">
    <w:name w:val="Grid Table 7 Colorful - Accent 3"/>
    <w:basedOn w:val="53"/>
    <w:qFormat/>
    <w:uiPriority w:val="99"/>
    <w:tblPr>
      <w:tblBorders>
        <w:bottom w:val="single" w:color="A5A5A5" w:sz="4" w:space="0"/>
        <w:right w:val="single" w:color="A5A5A5" w:sz="4" w:space="0"/>
        <w:insideH w:val="single" w:color="A5A5A5" w:sz="4" w:space="0"/>
        <w:insideV w:val="single" w:color="A5A5A5" w:sz="4" w:space="0"/>
      </w:tblBorders>
    </w:tblPr>
    <w:tblStylePr w:type="firstRow">
      <w:rPr>
        <w:rFonts w:ascii="等线" w:hAnsi="等线"/>
        <w:b/>
        <w:color w:val="A5A5A5"/>
        <w:sz w:val="22"/>
      </w:rPr>
      <w:tcPr>
        <w:tcBorders>
          <w:top w:val="nil"/>
          <w:left w:val="nil"/>
          <w:bottom w:val="single" w:color="A5A5A5" w:sz="4" w:space="0"/>
          <w:right w:val="nil"/>
          <w:insideH w:val="nil"/>
          <w:insideV w:val="nil"/>
          <w:tl2br w:val="nil"/>
          <w:tr2bl w:val="nil"/>
        </w:tcBorders>
        <w:shd w:val="clear" w:color="FFFFFF" w:fill="FFFFFF"/>
      </w:tcPr>
    </w:tblStylePr>
    <w:tblStylePr w:type="lastRow">
      <w:rPr>
        <w:rFonts w:ascii="等线" w:hAnsi="等线"/>
        <w:b/>
        <w:color w:val="A5A5A5"/>
        <w:sz w:val="22"/>
      </w:rPr>
      <w:tcPr>
        <w:tcBorders>
          <w:top w:val="single" w:color="A5A5A5"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A5A5A5"/>
        <w:sz w:val="22"/>
      </w:rPr>
      <w:tcPr>
        <w:tcBorders>
          <w:top w:val="nil"/>
          <w:left w:val="nil"/>
          <w:bottom w:val="nil"/>
          <w:right w:val="single" w:color="A5A5A5" w:sz="4" w:space="0"/>
          <w:insideH w:val="nil"/>
          <w:insideV w:val="nil"/>
          <w:tl2br w:val="nil"/>
          <w:tr2bl w:val="nil"/>
        </w:tcBorders>
        <w:shd w:val="clear" w:color="FFFFFF" w:fill="auto"/>
      </w:tcPr>
    </w:tblStylePr>
    <w:tblStylePr w:type="lastCol">
      <w:rPr>
        <w:rFonts w:ascii="等线" w:hAnsi="等线"/>
        <w:i/>
        <w:color w:val="A5A5A5"/>
        <w:sz w:val="22"/>
      </w:rPr>
      <w:tcPr>
        <w:tcBorders>
          <w:top w:val="nil"/>
          <w:left w:val="single" w:color="A5A5A5" w:sz="4" w:space="0"/>
          <w:bottom w:val="nil"/>
          <w:right w:val="nil"/>
          <w:insideH w:val="nil"/>
          <w:insideV w:val="nil"/>
          <w:tl2br w:val="nil"/>
          <w:tr2bl w:val="nil"/>
        </w:tcBorders>
        <w:shd w:val="clear" w:color="FFFFFF" w:fill="auto"/>
      </w:tcPr>
    </w:tblStylePr>
    <w:tblStylePr w:type="band1Vert">
      <w:tcPr>
        <w:shd w:val="clear" w:color="ECECEC" w:fill="ECECEC"/>
      </w:tcPr>
    </w:tblStylePr>
    <w:tblStylePr w:type="band1Horz">
      <w:rPr>
        <w:rFonts w:ascii="等线" w:hAnsi="等线"/>
        <w:color w:val="A5A5A5"/>
        <w:sz w:val="22"/>
      </w:rPr>
      <w:tcPr>
        <w:shd w:val="clear" w:color="ECECEC" w:fill="ECECEC"/>
      </w:tcPr>
    </w:tblStylePr>
    <w:tblStylePr w:type="band2Horz">
      <w:rPr>
        <w:rFonts w:ascii="等线" w:hAnsi="等线"/>
        <w:color w:val="A5A5A5"/>
        <w:sz w:val="22"/>
      </w:rPr>
    </w:tblStylePr>
  </w:style>
  <w:style w:type="table" w:customStyle="1" w:styleId="207">
    <w:name w:val="Grid Table 7 Colorful - Accent 4"/>
    <w:basedOn w:val="53"/>
    <w:qFormat/>
    <w:uiPriority w:val="99"/>
    <w:tblPr>
      <w:tblBorders>
        <w:bottom w:val="single" w:color="FFD864" w:sz="4" w:space="0"/>
        <w:right w:val="single" w:color="FFD864" w:sz="4" w:space="0"/>
        <w:insideH w:val="single" w:color="FFD864" w:sz="4" w:space="0"/>
        <w:insideV w:val="single" w:color="FFD864" w:sz="4" w:space="0"/>
      </w:tblBorders>
    </w:tblPr>
    <w:tblStylePr w:type="firstRow">
      <w:rPr>
        <w:rFonts w:ascii="等线" w:hAnsi="等线"/>
        <w:b/>
        <w:color w:val="FFD965"/>
        <w:sz w:val="22"/>
      </w:rPr>
      <w:tcPr>
        <w:tcBorders>
          <w:top w:val="nil"/>
          <w:left w:val="nil"/>
          <w:bottom w:val="single" w:color="FFD864" w:sz="4" w:space="0"/>
          <w:right w:val="nil"/>
          <w:insideH w:val="nil"/>
          <w:insideV w:val="nil"/>
          <w:tl2br w:val="nil"/>
          <w:tr2bl w:val="nil"/>
        </w:tcBorders>
        <w:shd w:val="clear" w:color="FFFFFF" w:fill="FFFFFF"/>
      </w:tcPr>
    </w:tblStylePr>
    <w:tblStylePr w:type="lastRow">
      <w:rPr>
        <w:rFonts w:ascii="等线" w:hAnsi="等线"/>
        <w:b/>
        <w:color w:val="FFD965"/>
        <w:sz w:val="22"/>
      </w:rPr>
      <w:tcPr>
        <w:tcBorders>
          <w:top w:val="single" w:color="FFD864"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FFD965"/>
        <w:sz w:val="22"/>
      </w:rPr>
      <w:tcPr>
        <w:tcBorders>
          <w:top w:val="nil"/>
          <w:left w:val="nil"/>
          <w:bottom w:val="nil"/>
          <w:right w:val="single" w:color="FFD864" w:sz="4" w:space="0"/>
          <w:insideH w:val="nil"/>
          <w:insideV w:val="nil"/>
          <w:tl2br w:val="nil"/>
          <w:tr2bl w:val="nil"/>
        </w:tcBorders>
        <w:shd w:val="clear" w:color="FFFFFF" w:fill="auto"/>
      </w:tcPr>
    </w:tblStylePr>
    <w:tblStylePr w:type="lastCol">
      <w:rPr>
        <w:rFonts w:ascii="等线" w:hAnsi="等线"/>
        <w:i/>
        <w:color w:val="FFD965"/>
        <w:sz w:val="22"/>
      </w:rPr>
      <w:tcPr>
        <w:tcBorders>
          <w:top w:val="nil"/>
          <w:left w:val="single" w:color="FFD864" w:sz="4" w:space="0"/>
          <w:bottom w:val="nil"/>
          <w:right w:val="nil"/>
          <w:insideH w:val="nil"/>
          <w:insideV w:val="nil"/>
          <w:tl2br w:val="nil"/>
          <w:tr2bl w:val="nil"/>
        </w:tcBorders>
        <w:shd w:val="clear" w:color="FFFFFF" w:fill="auto"/>
      </w:tcPr>
    </w:tblStylePr>
    <w:tblStylePr w:type="band1Vert">
      <w:tcPr>
        <w:shd w:val="clear" w:color="FEF2CA" w:fill="FEF2CA"/>
      </w:tcPr>
    </w:tblStylePr>
    <w:tblStylePr w:type="band1Horz">
      <w:rPr>
        <w:rFonts w:ascii="等线" w:hAnsi="等线"/>
        <w:color w:val="FFD965"/>
        <w:sz w:val="22"/>
      </w:rPr>
      <w:tcPr>
        <w:shd w:val="clear" w:color="FEF2CA" w:fill="FEF2CA"/>
      </w:tcPr>
    </w:tblStylePr>
    <w:tblStylePr w:type="band2Horz">
      <w:rPr>
        <w:rFonts w:ascii="等线" w:hAnsi="等线"/>
        <w:color w:val="FFD965"/>
        <w:sz w:val="22"/>
      </w:rPr>
    </w:tblStylePr>
  </w:style>
  <w:style w:type="table" w:customStyle="1" w:styleId="208">
    <w:name w:val="Grid Table 7 Colorful - Accent 5"/>
    <w:basedOn w:val="53"/>
    <w:qFormat/>
    <w:uiPriority w:val="99"/>
    <w:tblPr>
      <w:tblBorders>
        <w:bottom w:val="single" w:color="95AFDD" w:sz="4" w:space="0"/>
        <w:right w:val="single" w:color="95AFDD" w:sz="4" w:space="0"/>
        <w:insideH w:val="single" w:color="95AFDD" w:sz="4" w:space="0"/>
        <w:insideV w:val="single" w:color="95AFDD" w:sz="4" w:space="0"/>
      </w:tblBorders>
    </w:tblPr>
    <w:tblStylePr w:type="firstRow">
      <w:rPr>
        <w:rFonts w:ascii="等线" w:hAnsi="等线"/>
        <w:b/>
        <w:color w:val="244174"/>
        <w:sz w:val="22"/>
      </w:rPr>
      <w:tcPr>
        <w:tcBorders>
          <w:top w:val="nil"/>
          <w:left w:val="nil"/>
          <w:bottom w:val="single" w:color="95AFDD" w:sz="4" w:space="0"/>
          <w:right w:val="nil"/>
          <w:insideH w:val="nil"/>
          <w:insideV w:val="nil"/>
          <w:tl2br w:val="nil"/>
          <w:tr2bl w:val="nil"/>
        </w:tcBorders>
        <w:shd w:val="clear" w:color="FFFFFF" w:fill="FFFFFF"/>
      </w:tcPr>
    </w:tblStylePr>
    <w:tblStylePr w:type="lastRow">
      <w:rPr>
        <w:rFonts w:ascii="等线" w:hAnsi="等线"/>
        <w:b/>
        <w:color w:val="244174"/>
        <w:sz w:val="22"/>
      </w:rPr>
      <w:tcPr>
        <w:tcBorders>
          <w:top w:val="single" w:color="95AFDD"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244174"/>
        <w:sz w:val="22"/>
      </w:rPr>
      <w:tcPr>
        <w:tcBorders>
          <w:top w:val="nil"/>
          <w:left w:val="nil"/>
          <w:bottom w:val="nil"/>
          <w:right w:val="single" w:color="95AFDD" w:sz="4" w:space="0"/>
          <w:insideH w:val="nil"/>
          <w:insideV w:val="nil"/>
          <w:tl2br w:val="nil"/>
          <w:tr2bl w:val="nil"/>
        </w:tcBorders>
        <w:shd w:val="clear" w:color="FFFFFF" w:fill="auto"/>
      </w:tcPr>
    </w:tblStylePr>
    <w:tblStylePr w:type="lastCol">
      <w:rPr>
        <w:rFonts w:ascii="等线" w:hAnsi="等线"/>
        <w:i/>
        <w:color w:val="244174"/>
        <w:sz w:val="22"/>
      </w:rPr>
      <w:tcPr>
        <w:tcBorders>
          <w:top w:val="nil"/>
          <w:left w:val="single" w:color="95AFDD" w:sz="4" w:space="0"/>
          <w:bottom w:val="nil"/>
          <w:right w:val="nil"/>
          <w:insideH w:val="nil"/>
          <w:insideV w:val="nil"/>
          <w:tl2br w:val="nil"/>
          <w:tr2bl w:val="nil"/>
        </w:tcBorders>
        <w:shd w:val="clear" w:color="FFFFFF" w:fill="auto"/>
      </w:tcPr>
    </w:tblStylePr>
    <w:tblStylePr w:type="band1Vert">
      <w:tcPr>
        <w:shd w:val="clear" w:color="D8E2F2" w:fill="D8E2F2"/>
      </w:tcPr>
    </w:tblStylePr>
    <w:tblStylePr w:type="band1Horz">
      <w:rPr>
        <w:rFonts w:ascii="等线" w:hAnsi="等线"/>
        <w:color w:val="244174"/>
        <w:sz w:val="22"/>
      </w:rPr>
      <w:tcPr>
        <w:shd w:val="clear" w:color="D8E2F2" w:fill="D8E2F2"/>
      </w:tcPr>
    </w:tblStylePr>
    <w:tblStylePr w:type="band2Horz">
      <w:rPr>
        <w:rFonts w:ascii="等线" w:hAnsi="等线"/>
        <w:color w:val="244174"/>
        <w:sz w:val="22"/>
      </w:rPr>
    </w:tblStylePr>
  </w:style>
  <w:style w:type="table" w:customStyle="1" w:styleId="209">
    <w:name w:val="Grid Table 7 Colorful - Accent 6"/>
    <w:basedOn w:val="53"/>
    <w:qFormat/>
    <w:uiPriority w:val="99"/>
    <w:tblPr>
      <w:tblBorders>
        <w:bottom w:val="single" w:color="ADD394" w:sz="4" w:space="0"/>
        <w:right w:val="single" w:color="ADD394" w:sz="4" w:space="0"/>
        <w:insideH w:val="single" w:color="ADD394" w:sz="4" w:space="0"/>
        <w:insideV w:val="single" w:color="ADD394" w:sz="4" w:space="0"/>
      </w:tblBorders>
    </w:tblPr>
    <w:tblStylePr w:type="firstRow">
      <w:rPr>
        <w:rFonts w:ascii="等线" w:hAnsi="等线"/>
        <w:b/>
        <w:color w:val="416429"/>
        <w:sz w:val="22"/>
      </w:rPr>
      <w:tcPr>
        <w:tcBorders>
          <w:top w:val="nil"/>
          <w:left w:val="nil"/>
          <w:bottom w:val="single" w:color="ADD394" w:sz="4" w:space="0"/>
          <w:right w:val="nil"/>
          <w:insideH w:val="nil"/>
          <w:insideV w:val="nil"/>
          <w:tl2br w:val="nil"/>
          <w:tr2bl w:val="nil"/>
        </w:tcBorders>
        <w:shd w:val="clear" w:color="FFFFFF" w:fill="FFFFFF"/>
      </w:tcPr>
    </w:tblStylePr>
    <w:tblStylePr w:type="lastRow">
      <w:rPr>
        <w:rFonts w:ascii="等线" w:hAnsi="等线"/>
        <w:b/>
        <w:color w:val="416429"/>
        <w:sz w:val="22"/>
      </w:rPr>
      <w:tcPr>
        <w:tcBorders>
          <w:top w:val="single" w:color="ADD394"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416429"/>
        <w:sz w:val="22"/>
      </w:rPr>
      <w:tcPr>
        <w:tcBorders>
          <w:top w:val="nil"/>
          <w:left w:val="nil"/>
          <w:bottom w:val="nil"/>
          <w:right w:val="single" w:color="ADD394" w:sz="4" w:space="0"/>
          <w:insideH w:val="nil"/>
          <w:insideV w:val="nil"/>
          <w:tl2br w:val="nil"/>
          <w:tr2bl w:val="nil"/>
        </w:tcBorders>
        <w:shd w:val="clear" w:color="FFFFFF" w:fill="auto"/>
      </w:tcPr>
    </w:tblStylePr>
    <w:tblStylePr w:type="lastCol">
      <w:rPr>
        <w:rFonts w:ascii="等线" w:hAnsi="等线"/>
        <w:i/>
        <w:color w:val="416429"/>
        <w:sz w:val="22"/>
      </w:rPr>
      <w:tcPr>
        <w:tcBorders>
          <w:top w:val="nil"/>
          <w:left w:val="single" w:color="ADD394" w:sz="4" w:space="0"/>
          <w:bottom w:val="nil"/>
          <w:right w:val="nil"/>
          <w:insideH w:val="nil"/>
          <w:insideV w:val="nil"/>
          <w:tl2br w:val="nil"/>
          <w:tr2bl w:val="nil"/>
        </w:tcBorders>
        <w:shd w:val="clear" w:color="FFFFFF" w:fill="auto"/>
      </w:tcPr>
    </w:tblStylePr>
    <w:tblStylePr w:type="band1Vert">
      <w:tcPr>
        <w:shd w:val="clear" w:color="E1EFD8" w:fill="E1EFD8"/>
      </w:tcPr>
    </w:tblStylePr>
    <w:tblStylePr w:type="band1Horz">
      <w:rPr>
        <w:rFonts w:ascii="等线" w:hAnsi="等线"/>
        <w:color w:val="416429"/>
        <w:sz w:val="22"/>
      </w:rPr>
      <w:tcPr>
        <w:shd w:val="clear" w:color="E1EFD8" w:fill="E1EFD8"/>
      </w:tcPr>
    </w:tblStylePr>
    <w:tblStylePr w:type="band2Horz">
      <w:rPr>
        <w:rFonts w:ascii="等线" w:hAnsi="等线"/>
        <w:color w:val="416429"/>
        <w:sz w:val="22"/>
      </w:rPr>
    </w:tblStylePr>
  </w:style>
  <w:style w:type="table" w:customStyle="1" w:styleId="210">
    <w:name w:val="List Table 1 Light - Accent 1"/>
    <w:basedOn w:val="53"/>
    <w:qFormat/>
    <w:uiPriority w:val="99"/>
    <w:tblStylePr w:type="firstRow">
      <w:rPr>
        <w:b/>
        <w:color w:val="404040"/>
      </w:rPr>
      <w:tcPr>
        <w:tcBorders>
          <w:top w:val="nil"/>
          <w:left w:val="nil"/>
          <w:bottom w:val="single" w:color="5B9BD5" w:sz="4" w:space="0"/>
          <w:right w:val="nil"/>
          <w:insideH w:val="nil"/>
          <w:insideV w:val="nil"/>
          <w:tl2br w:val="nil"/>
          <w:tr2bl w:val="nil"/>
        </w:tcBorders>
      </w:tcPr>
    </w:tblStylePr>
    <w:tblStylePr w:type="lastRow">
      <w:rPr>
        <w:b/>
        <w:color w:val="404040"/>
      </w:rPr>
      <w:tcPr>
        <w:tcBorders>
          <w:top w:val="single" w:color="5B9BD5"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D5E5F4" w:fill="D5E5F4"/>
      </w:tcPr>
    </w:tblStylePr>
    <w:tblStylePr w:type="band1Horz">
      <w:tcPr>
        <w:shd w:val="clear" w:color="D5E5F4" w:fill="D5E5F4"/>
      </w:tcPr>
    </w:tblStylePr>
  </w:style>
  <w:style w:type="table" w:customStyle="1" w:styleId="211">
    <w:name w:val="List Table 1 Light - Accent 2"/>
    <w:basedOn w:val="53"/>
    <w:qFormat/>
    <w:uiPriority w:val="99"/>
    <w:tblStylePr w:type="firstRow">
      <w:rPr>
        <w:b/>
        <w:color w:val="404040"/>
      </w:rPr>
      <w:tcPr>
        <w:tcBorders>
          <w:top w:val="nil"/>
          <w:left w:val="nil"/>
          <w:bottom w:val="single" w:color="ED7D31" w:sz="4" w:space="0"/>
          <w:right w:val="nil"/>
          <w:insideH w:val="nil"/>
          <w:insideV w:val="nil"/>
          <w:tl2br w:val="nil"/>
          <w:tr2bl w:val="nil"/>
        </w:tcBorders>
      </w:tcPr>
    </w:tblStylePr>
    <w:tblStylePr w:type="lastRow">
      <w:rPr>
        <w:b/>
        <w:color w:val="404040"/>
      </w:rPr>
      <w:tcPr>
        <w:tcBorders>
          <w:top w:val="single" w:color="ED7D31"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FADECB" w:fill="FADECB"/>
      </w:tcPr>
    </w:tblStylePr>
    <w:tblStylePr w:type="band1Horz">
      <w:tcPr>
        <w:shd w:val="clear" w:color="FADECB" w:fill="FADECB"/>
      </w:tcPr>
    </w:tblStylePr>
  </w:style>
  <w:style w:type="table" w:customStyle="1" w:styleId="212">
    <w:name w:val="List Table 1 Light - Accent 3"/>
    <w:basedOn w:val="53"/>
    <w:qFormat/>
    <w:uiPriority w:val="99"/>
    <w:tblStylePr w:type="firstRow">
      <w:rPr>
        <w:b/>
        <w:color w:val="404040"/>
      </w:rPr>
      <w:tcPr>
        <w:tcBorders>
          <w:top w:val="nil"/>
          <w:left w:val="nil"/>
          <w:bottom w:val="single" w:color="A5A5A5" w:sz="4" w:space="0"/>
          <w:right w:val="nil"/>
          <w:insideH w:val="nil"/>
          <w:insideV w:val="nil"/>
          <w:tl2br w:val="nil"/>
          <w:tr2bl w:val="nil"/>
        </w:tcBorders>
      </w:tcPr>
    </w:tblStylePr>
    <w:tblStylePr w:type="lastRow">
      <w:rPr>
        <w:b/>
        <w:color w:val="404040"/>
      </w:rPr>
      <w:tcPr>
        <w:tcBorders>
          <w:top w:val="single" w:color="A5A5A5"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E8E8E8" w:fill="E8E8E8"/>
      </w:tcPr>
    </w:tblStylePr>
    <w:tblStylePr w:type="band1Horz">
      <w:tcPr>
        <w:shd w:val="clear" w:color="E8E8E8" w:fill="E8E8E8"/>
      </w:tcPr>
    </w:tblStylePr>
  </w:style>
  <w:style w:type="table" w:customStyle="1" w:styleId="213">
    <w:name w:val="List Table 1 Light - Accent 4"/>
    <w:basedOn w:val="53"/>
    <w:qFormat/>
    <w:uiPriority w:val="99"/>
    <w:tblStylePr w:type="firstRow">
      <w:rPr>
        <w:b/>
        <w:color w:val="404040"/>
      </w:rPr>
      <w:tcPr>
        <w:tcBorders>
          <w:top w:val="nil"/>
          <w:left w:val="nil"/>
          <w:bottom w:val="single" w:color="FFC000" w:sz="4" w:space="0"/>
          <w:right w:val="nil"/>
          <w:insideH w:val="nil"/>
          <w:insideV w:val="nil"/>
          <w:tl2br w:val="nil"/>
          <w:tr2bl w:val="nil"/>
        </w:tcBorders>
      </w:tcPr>
    </w:tblStylePr>
    <w:tblStylePr w:type="lastRow">
      <w:rPr>
        <w:b/>
        <w:color w:val="404040"/>
      </w:rPr>
      <w:tcPr>
        <w:tcBorders>
          <w:top w:val="single" w:color="FFC000"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FFEFBE" w:fill="FFEFBE"/>
      </w:tcPr>
    </w:tblStylePr>
    <w:tblStylePr w:type="band1Horz">
      <w:tcPr>
        <w:shd w:val="clear" w:color="FFEFBE" w:fill="FFEFBE"/>
      </w:tcPr>
    </w:tblStylePr>
  </w:style>
  <w:style w:type="table" w:customStyle="1" w:styleId="214">
    <w:name w:val="List Table 1 Light - Accent 5"/>
    <w:basedOn w:val="53"/>
    <w:qFormat/>
    <w:uiPriority w:val="99"/>
    <w:tblStylePr w:type="firstRow">
      <w:rPr>
        <w:b/>
        <w:color w:val="404040"/>
      </w:rPr>
      <w:tcPr>
        <w:tcBorders>
          <w:top w:val="nil"/>
          <w:left w:val="nil"/>
          <w:bottom w:val="single" w:color="4472C4" w:sz="4" w:space="0"/>
          <w:right w:val="nil"/>
          <w:insideH w:val="nil"/>
          <w:insideV w:val="nil"/>
          <w:tl2br w:val="nil"/>
          <w:tr2bl w:val="nil"/>
        </w:tcBorders>
      </w:tcPr>
    </w:tblStylePr>
    <w:tblStylePr w:type="lastRow">
      <w:rPr>
        <w:b/>
        <w:color w:val="404040"/>
      </w:rPr>
      <w:tcPr>
        <w:tcBorders>
          <w:top w:val="single" w:color="4472C4"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D0DBF0" w:fill="D0DBF0"/>
      </w:tcPr>
    </w:tblStylePr>
    <w:tblStylePr w:type="band1Horz">
      <w:tcPr>
        <w:shd w:val="clear" w:color="D0DBF0" w:fill="D0DBF0"/>
      </w:tcPr>
    </w:tblStylePr>
  </w:style>
  <w:style w:type="table" w:customStyle="1" w:styleId="215">
    <w:name w:val="List Table 1 Light - Accent 6"/>
    <w:basedOn w:val="53"/>
    <w:qFormat/>
    <w:uiPriority w:val="99"/>
    <w:tblStylePr w:type="firstRow">
      <w:rPr>
        <w:b/>
        <w:color w:val="404040"/>
      </w:rPr>
      <w:tcPr>
        <w:tcBorders>
          <w:top w:val="nil"/>
          <w:left w:val="nil"/>
          <w:bottom w:val="single" w:color="70AD47" w:sz="4" w:space="0"/>
          <w:right w:val="nil"/>
          <w:insideH w:val="nil"/>
          <w:insideV w:val="nil"/>
          <w:tl2br w:val="nil"/>
          <w:tr2bl w:val="nil"/>
        </w:tcBorders>
      </w:tcPr>
    </w:tblStylePr>
    <w:tblStylePr w:type="lastRow">
      <w:rPr>
        <w:b/>
        <w:color w:val="404040"/>
      </w:rPr>
      <w:tcPr>
        <w:tcBorders>
          <w:top w:val="single" w:color="70AD47" w:sz="4" w:space="0"/>
          <w:left w:val="nil"/>
          <w:bottom w:val="nil"/>
          <w:right w:val="nil"/>
          <w:insideH w:val="nil"/>
          <w:insideV w:val="nil"/>
          <w:tl2br w:val="nil"/>
          <w:tr2bl w:val="nil"/>
        </w:tcBorders>
      </w:tcPr>
    </w:tblStylePr>
    <w:tblStylePr w:type="firstCol">
      <w:rPr>
        <w:b/>
        <w:color w:val="404040"/>
      </w:rPr>
    </w:tblStylePr>
    <w:tblStylePr w:type="lastCol">
      <w:rPr>
        <w:b/>
        <w:color w:val="404040"/>
      </w:rPr>
    </w:tblStylePr>
    <w:tblStylePr w:type="band1Vert">
      <w:tcPr>
        <w:shd w:val="clear" w:color="DAEBCF" w:fill="DAEBCF"/>
      </w:tcPr>
    </w:tblStylePr>
    <w:tblStylePr w:type="band1Horz">
      <w:tcPr>
        <w:shd w:val="clear" w:color="DAEBCF" w:fill="DAEBCF"/>
      </w:tcPr>
    </w:tblStylePr>
  </w:style>
  <w:style w:type="table" w:customStyle="1" w:styleId="216">
    <w:name w:val="List Table 2 - Accent 1"/>
    <w:basedOn w:val="53"/>
    <w:qFormat/>
    <w:uiPriority w:val="99"/>
    <w:tblPr>
      <w:tblBorders>
        <w:top w:val="single" w:color="A2C6E7" w:sz="4" w:space="0"/>
        <w:bottom w:val="single" w:color="A2C6E7" w:sz="4" w:space="0"/>
        <w:insideH w:val="single" w:color="A2C6E7" w:sz="4" w:space="0"/>
      </w:tblBorders>
    </w:tblPr>
    <w:tblStylePr w:type="firstRow">
      <w:rPr>
        <w:rFonts w:ascii="等线" w:hAnsi="等线"/>
        <w:b/>
        <w:color w:val="404040"/>
        <w:sz w:val="22"/>
      </w:rPr>
      <w:tcPr>
        <w:tcBorders>
          <w:top w:val="single" w:color="A2C6E7" w:sz="4" w:space="0"/>
          <w:left w:val="nil"/>
          <w:bottom w:val="single" w:color="A2C6E7" w:sz="4" w:space="0"/>
          <w:right w:val="nil"/>
          <w:insideH w:val="nil"/>
          <w:insideV w:val="nil"/>
          <w:tl2br w:val="nil"/>
          <w:tr2bl w:val="nil"/>
        </w:tcBorders>
      </w:tcPr>
    </w:tblStylePr>
    <w:tblStylePr w:type="lastRow">
      <w:rPr>
        <w:rFonts w:ascii="等线" w:hAnsi="等线"/>
        <w:b/>
        <w:color w:val="404040"/>
        <w:sz w:val="22"/>
      </w:rPr>
      <w:tcPr>
        <w:tcBorders>
          <w:top w:val="single" w:color="A2C6E7" w:sz="4" w:space="0"/>
          <w:left w:val="nil"/>
          <w:bottom w:val="single" w:color="A2C6E7"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D5E5F4" w:fill="D5E5F4"/>
      </w:tcPr>
    </w:tblStylePr>
    <w:tblStylePr w:type="band1Horz">
      <w:rPr>
        <w:rFonts w:ascii="等线" w:hAnsi="等线"/>
        <w:color w:val="404040"/>
        <w:sz w:val="22"/>
      </w:rPr>
      <w:tcPr>
        <w:shd w:val="clear" w:color="D5E5F4" w:fill="D5E5F4"/>
      </w:tcPr>
    </w:tblStylePr>
  </w:style>
  <w:style w:type="table" w:customStyle="1" w:styleId="217">
    <w:name w:val="List Table 2 - Accent 2"/>
    <w:basedOn w:val="53"/>
    <w:qFormat/>
    <w:uiPriority w:val="99"/>
    <w:tblPr>
      <w:tblBorders>
        <w:top w:val="single" w:color="F4B58A" w:sz="4" w:space="0"/>
        <w:bottom w:val="single" w:color="F4B58A" w:sz="4" w:space="0"/>
        <w:insideH w:val="single" w:color="F4B58A" w:sz="4" w:space="0"/>
      </w:tblBorders>
    </w:tblPr>
    <w:tblStylePr w:type="firstRow">
      <w:rPr>
        <w:rFonts w:ascii="等线" w:hAnsi="等线"/>
        <w:b/>
        <w:color w:val="404040"/>
        <w:sz w:val="22"/>
      </w:rPr>
      <w:tcPr>
        <w:tcBorders>
          <w:top w:val="single" w:color="F4B58A" w:sz="4" w:space="0"/>
          <w:left w:val="nil"/>
          <w:bottom w:val="single" w:color="F4B58A" w:sz="4" w:space="0"/>
          <w:right w:val="nil"/>
          <w:insideH w:val="nil"/>
          <w:insideV w:val="nil"/>
          <w:tl2br w:val="nil"/>
          <w:tr2bl w:val="nil"/>
        </w:tcBorders>
      </w:tcPr>
    </w:tblStylePr>
    <w:tblStylePr w:type="lastRow">
      <w:rPr>
        <w:rFonts w:ascii="等线" w:hAnsi="等线"/>
        <w:b/>
        <w:color w:val="404040"/>
        <w:sz w:val="22"/>
      </w:rPr>
      <w:tcPr>
        <w:tcBorders>
          <w:top w:val="single" w:color="F4B58A" w:sz="4" w:space="0"/>
          <w:left w:val="nil"/>
          <w:bottom w:val="single" w:color="F4B58A"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FADECB" w:fill="FADECB"/>
      </w:tcPr>
    </w:tblStylePr>
    <w:tblStylePr w:type="band1Horz">
      <w:rPr>
        <w:rFonts w:ascii="等线" w:hAnsi="等线"/>
        <w:color w:val="404040"/>
        <w:sz w:val="22"/>
      </w:rPr>
      <w:tcPr>
        <w:shd w:val="clear" w:color="FADECB" w:fill="FADECB"/>
      </w:tcPr>
    </w:tblStylePr>
  </w:style>
  <w:style w:type="table" w:customStyle="1" w:styleId="218">
    <w:name w:val="List Table 2 - Accent 3"/>
    <w:basedOn w:val="53"/>
    <w:qFormat/>
    <w:uiPriority w:val="99"/>
    <w:tblPr>
      <w:tblBorders>
        <w:top w:val="single" w:color="CCCCCC" w:sz="4" w:space="0"/>
        <w:bottom w:val="single" w:color="CCCCCC" w:sz="4" w:space="0"/>
        <w:insideH w:val="single" w:color="CCCCCC" w:sz="4" w:space="0"/>
      </w:tblBorders>
    </w:tblPr>
    <w:tblStylePr w:type="firstRow">
      <w:rPr>
        <w:rFonts w:ascii="等线" w:hAnsi="等线"/>
        <w:b/>
        <w:color w:val="404040"/>
        <w:sz w:val="22"/>
      </w:rPr>
      <w:tcPr>
        <w:tcBorders>
          <w:top w:val="single" w:color="CCCCCC" w:sz="4" w:space="0"/>
          <w:left w:val="nil"/>
          <w:bottom w:val="single" w:color="CCCCCC" w:sz="4" w:space="0"/>
          <w:right w:val="nil"/>
          <w:insideH w:val="nil"/>
          <w:insideV w:val="nil"/>
          <w:tl2br w:val="nil"/>
          <w:tr2bl w:val="nil"/>
        </w:tcBorders>
      </w:tcPr>
    </w:tblStylePr>
    <w:tblStylePr w:type="lastRow">
      <w:rPr>
        <w:rFonts w:ascii="等线" w:hAnsi="等线"/>
        <w:b/>
        <w:color w:val="404040"/>
        <w:sz w:val="22"/>
      </w:rPr>
      <w:tcPr>
        <w:tcBorders>
          <w:top w:val="single" w:color="CCCCCC" w:sz="4" w:space="0"/>
          <w:left w:val="nil"/>
          <w:bottom w:val="single" w:color="CCCCCC"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E8E8E8" w:fill="E8E8E8"/>
      </w:tcPr>
    </w:tblStylePr>
    <w:tblStylePr w:type="band1Horz">
      <w:rPr>
        <w:rFonts w:ascii="等线" w:hAnsi="等线"/>
        <w:color w:val="404040"/>
        <w:sz w:val="22"/>
      </w:rPr>
      <w:tcPr>
        <w:shd w:val="clear" w:color="E8E8E8" w:fill="E8E8E8"/>
      </w:tcPr>
    </w:tblStylePr>
  </w:style>
  <w:style w:type="table" w:customStyle="1" w:styleId="219">
    <w:name w:val="List Table 2 - Accent 4"/>
    <w:basedOn w:val="53"/>
    <w:qFormat/>
    <w:uiPriority w:val="99"/>
    <w:tblPr>
      <w:tblBorders>
        <w:top w:val="single" w:color="FFDB6E" w:sz="4" w:space="0"/>
        <w:bottom w:val="single" w:color="FFDB6E" w:sz="4" w:space="0"/>
        <w:insideH w:val="single" w:color="FFDB6E" w:sz="4" w:space="0"/>
      </w:tblBorders>
    </w:tblPr>
    <w:tblStylePr w:type="firstRow">
      <w:rPr>
        <w:rFonts w:ascii="等线" w:hAnsi="等线"/>
        <w:b/>
        <w:color w:val="404040"/>
        <w:sz w:val="22"/>
      </w:rPr>
      <w:tcPr>
        <w:tcBorders>
          <w:top w:val="single" w:color="FFDB6E" w:sz="4" w:space="0"/>
          <w:left w:val="nil"/>
          <w:bottom w:val="single" w:color="FFDB6E" w:sz="4" w:space="0"/>
          <w:right w:val="nil"/>
          <w:insideH w:val="nil"/>
          <w:insideV w:val="nil"/>
          <w:tl2br w:val="nil"/>
          <w:tr2bl w:val="nil"/>
        </w:tcBorders>
      </w:tcPr>
    </w:tblStylePr>
    <w:tblStylePr w:type="lastRow">
      <w:rPr>
        <w:rFonts w:ascii="等线" w:hAnsi="等线"/>
        <w:b/>
        <w:color w:val="404040"/>
        <w:sz w:val="22"/>
      </w:rPr>
      <w:tcPr>
        <w:tcBorders>
          <w:top w:val="single" w:color="FFDB6E" w:sz="4" w:space="0"/>
          <w:left w:val="nil"/>
          <w:bottom w:val="single" w:color="FFDB6E"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FFEFBE" w:fill="FFEFBE"/>
      </w:tcPr>
    </w:tblStylePr>
    <w:tblStylePr w:type="band1Horz">
      <w:rPr>
        <w:rFonts w:ascii="等线" w:hAnsi="等线"/>
        <w:color w:val="404040"/>
        <w:sz w:val="22"/>
      </w:rPr>
      <w:tcPr>
        <w:shd w:val="clear" w:color="FFEFBE" w:fill="FFEFBE"/>
      </w:tcPr>
    </w:tblStylePr>
  </w:style>
  <w:style w:type="table" w:customStyle="1" w:styleId="220">
    <w:name w:val="List Table 2 - Accent 5"/>
    <w:basedOn w:val="53"/>
    <w:qFormat/>
    <w:uiPriority w:val="99"/>
    <w:tblPr>
      <w:tblBorders>
        <w:top w:val="single" w:color="95AFDD" w:sz="4" w:space="0"/>
        <w:bottom w:val="single" w:color="95AFDD" w:sz="4" w:space="0"/>
        <w:insideH w:val="single" w:color="95AFDD" w:sz="4" w:space="0"/>
      </w:tblBorders>
    </w:tblPr>
    <w:tblStylePr w:type="firstRow">
      <w:rPr>
        <w:rFonts w:ascii="等线" w:hAnsi="等线"/>
        <w:b/>
        <w:color w:val="404040"/>
        <w:sz w:val="22"/>
      </w:rPr>
      <w:tcPr>
        <w:tcBorders>
          <w:top w:val="single" w:color="95AFDD" w:sz="4" w:space="0"/>
          <w:left w:val="nil"/>
          <w:bottom w:val="single" w:color="95AFDD" w:sz="4" w:space="0"/>
          <w:right w:val="nil"/>
          <w:insideH w:val="nil"/>
          <w:insideV w:val="nil"/>
          <w:tl2br w:val="nil"/>
          <w:tr2bl w:val="nil"/>
        </w:tcBorders>
      </w:tcPr>
    </w:tblStylePr>
    <w:tblStylePr w:type="lastRow">
      <w:rPr>
        <w:rFonts w:ascii="等线" w:hAnsi="等线"/>
        <w:b/>
        <w:color w:val="404040"/>
        <w:sz w:val="22"/>
      </w:rPr>
      <w:tcPr>
        <w:tcBorders>
          <w:top w:val="single" w:color="95AFDD" w:sz="4" w:space="0"/>
          <w:left w:val="nil"/>
          <w:bottom w:val="single" w:color="95AFDD"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D0DBF0" w:fill="D0DBF0"/>
      </w:tcPr>
    </w:tblStylePr>
    <w:tblStylePr w:type="band1Horz">
      <w:rPr>
        <w:rFonts w:ascii="等线" w:hAnsi="等线"/>
        <w:color w:val="404040"/>
        <w:sz w:val="22"/>
      </w:rPr>
      <w:tcPr>
        <w:shd w:val="clear" w:color="D0DBF0" w:fill="D0DBF0"/>
      </w:tcPr>
    </w:tblStylePr>
  </w:style>
  <w:style w:type="table" w:customStyle="1" w:styleId="221">
    <w:name w:val="List Table 2 - Accent 6"/>
    <w:basedOn w:val="53"/>
    <w:qFormat/>
    <w:uiPriority w:val="99"/>
    <w:tblPr>
      <w:tblBorders>
        <w:top w:val="single" w:color="ADD394" w:sz="4" w:space="0"/>
        <w:bottom w:val="single" w:color="ADD394" w:sz="4" w:space="0"/>
        <w:insideH w:val="single" w:color="ADD394" w:sz="4" w:space="0"/>
      </w:tblBorders>
    </w:tblPr>
    <w:tblStylePr w:type="firstRow">
      <w:rPr>
        <w:rFonts w:ascii="等线" w:hAnsi="等线"/>
        <w:b/>
        <w:color w:val="404040"/>
        <w:sz w:val="22"/>
      </w:rPr>
      <w:tcPr>
        <w:tcBorders>
          <w:top w:val="single" w:color="ADD394" w:sz="4" w:space="0"/>
          <w:left w:val="nil"/>
          <w:bottom w:val="single" w:color="ADD394" w:sz="4" w:space="0"/>
          <w:right w:val="nil"/>
          <w:insideH w:val="nil"/>
          <w:insideV w:val="nil"/>
          <w:tl2br w:val="nil"/>
          <w:tr2bl w:val="nil"/>
        </w:tcBorders>
      </w:tcPr>
    </w:tblStylePr>
    <w:tblStylePr w:type="lastRow">
      <w:rPr>
        <w:rFonts w:ascii="等线" w:hAnsi="等线"/>
        <w:b/>
        <w:color w:val="404040"/>
        <w:sz w:val="22"/>
      </w:rPr>
      <w:tcPr>
        <w:tcBorders>
          <w:top w:val="single" w:color="ADD394" w:sz="4" w:space="0"/>
          <w:left w:val="nil"/>
          <w:bottom w:val="single" w:color="ADD394" w:sz="4" w:space="0"/>
          <w:right w:val="nil"/>
          <w:insideH w:val="nil"/>
          <w:insideV w:val="nil"/>
          <w:tl2br w:val="nil"/>
          <w:tr2bl w:val="nil"/>
        </w:tcBorders>
      </w:tcPr>
    </w:tblStylePr>
    <w:tblStylePr w:type="firstCol">
      <w:rPr>
        <w:rFonts w:ascii="等线" w:hAnsi="等线"/>
        <w:b/>
        <w:color w:val="404040"/>
        <w:sz w:val="22"/>
      </w:rPr>
    </w:tblStylePr>
    <w:tblStylePr w:type="lastCol">
      <w:rPr>
        <w:rFonts w:ascii="等线" w:hAnsi="等线"/>
        <w:b/>
        <w:color w:val="404040"/>
        <w:sz w:val="22"/>
      </w:rPr>
    </w:tblStylePr>
    <w:tblStylePr w:type="band1Vert">
      <w:rPr>
        <w:rFonts w:ascii="等线" w:hAnsi="等线"/>
        <w:color w:val="404040"/>
        <w:sz w:val="22"/>
      </w:rPr>
      <w:tcPr>
        <w:shd w:val="clear" w:color="DAEBCF" w:fill="DAEBCF"/>
      </w:tcPr>
    </w:tblStylePr>
    <w:tblStylePr w:type="band1Horz">
      <w:rPr>
        <w:rFonts w:ascii="等线" w:hAnsi="等线"/>
        <w:color w:val="404040"/>
        <w:sz w:val="22"/>
      </w:rPr>
      <w:tcPr>
        <w:shd w:val="clear" w:color="DAEBCF" w:fill="DAEBCF"/>
      </w:tcPr>
    </w:tblStylePr>
  </w:style>
  <w:style w:type="table" w:customStyle="1" w:styleId="222">
    <w:name w:val="List Table 3 - Accent 1"/>
    <w:basedOn w:val="53"/>
    <w:qFormat/>
    <w:uiPriority w:val="99"/>
    <w:tblPr>
      <w:tblBorders>
        <w:top w:val="single" w:color="5B9BD5" w:sz="4" w:space="0"/>
        <w:left w:val="single" w:color="5B9BD5" w:sz="4" w:space="0"/>
        <w:bottom w:val="single" w:color="5B9BD5" w:sz="4" w:space="0"/>
        <w:right w:val="single" w:color="5B9BD5" w:sz="4" w:space="0"/>
      </w:tblBorders>
    </w:tblPr>
    <w:tblStylePr w:type="firstRow">
      <w:rPr>
        <w:rFonts w:ascii="等线" w:hAnsi="等线"/>
        <w:b/>
        <w:color w:val="FFFFFF"/>
        <w:sz w:val="22"/>
      </w:r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5B9BD5" w:sz="4" w:space="0"/>
          <w:bottom w:val="nil"/>
          <w:right w:val="single" w:color="5B9BD5" w:sz="4" w:space="0"/>
          <w:insideH w:val="nil"/>
          <w:insideV w:val="nil"/>
          <w:tl2br w:val="nil"/>
          <w:tr2bl w:val="nil"/>
        </w:tcBorders>
      </w:tcPr>
    </w:tblStylePr>
    <w:tblStylePr w:type="band1Horz">
      <w:rPr>
        <w:rFonts w:ascii="等线" w:hAnsi="等线"/>
        <w:color w:val="404040"/>
        <w:sz w:val="22"/>
      </w:rPr>
      <w:tcPr>
        <w:tcBorders>
          <w:top w:val="single" w:color="5B9BD5" w:sz="4" w:space="0"/>
          <w:left w:val="nil"/>
          <w:bottom w:val="single" w:color="5B9BD5" w:sz="4" w:space="0"/>
          <w:right w:val="nil"/>
          <w:insideH w:val="nil"/>
          <w:insideV w:val="nil"/>
          <w:tl2br w:val="nil"/>
          <w:tr2bl w:val="nil"/>
        </w:tcBorders>
      </w:tcPr>
    </w:tblStylePr>
  </w:style>
  <w:style w:type="table" w:customStyle="1" w:styleId="223">
    <w:name w:val="List Table 3 - Accent 2"/>
    <w:basedOn w:val="53"/>
    <w:qFormat/>
    <w:uiPriority w:val="99"/>
    <w:tblPr>
      <w:tblBorders>
        <w:top w:val="single" w:color="F4B285" w:sz="4" w:space="0"/>
        <w:left w:val="single" w:color="F4B285" w:sz="4" w:space="0"/>
        <w:bottom w:val="single" w:color="F4B285" w:sz="4" w:space="0"/>
        <w:right w:val="single" w:color="F4B285" w:sz="4" w:space="0"/>
      </w:tblBorders>
    </w:tblPr>
    <w:tblStylePr w:type="firstRow">
      <w:rPr>
        <w:rFonts w:ascii="等线" w:hAnsi="等线"/>
        <w:b/>
        <w:color w:val="FFFFFF"/>
        <w:sz w:val="22"/>
      </w:rPr>
      <w:tcPr>
        <w:shd w:val="clear" w:color="F4B285" w:fill="F4B285"/>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F4B285" w:sz="4" w:space="0"/>
          <w:bottom w:val="nil"/>
          <w:right w:val="single" w:color="F4B285" w:sz="4" w:space="0"/>
          <w:insideH w:val="nil"/>
          <w:insideV w:val="nil"/>
          <w:tl2br w:val="nil"/>
          <w:tr2bl w:val="nil"/>
        </w:tcBorders>
      </w:tcPr>
    </w:tblStylePr>
    <w:tblStylePr w:type="band1Horz">
      <w:rPr>
        <w:rFonts w:ascii="等线" w:hAnsi="等线"/>
        <w:color w:val="404040"/>
        <w:sz w:val="22"/>
      </w:rPr>
      <w:tcPr>
        <w:tcBorders>
          <w:top w:val="single" w:color="F4B285" w:sz="4" w:space="0"/>
          <w:left w:val="nil"/>
          <w:bottom w:val="single" w:color="F4B285" w:sz="4" w:space="0"/>
          <w:right w:val="nil"/>
          <w:insideH w:val="nil"/>
          <w:insideV w:val="nil"/>
          <w:tl2br w:val="nil"/>
          <w:tr2bl w:val="nil"/>
        </w:tcBorders>
      </w:tcPr>
    </w:tblStylePr>
  </w:style>
  <w:style w:type="table" w:customStyle="1" w:styleId="224">
    <w:name w:val="List Table 3 - Accent 3"/>
    <w:basedOn w:val="53"/>
    <w:qFormat/>
    <w:uiPriority w:val="99"/>
    <w:tblPr>
      <w:tblBorders>
        <w:top w:val="single" w:color="C9C9C9" w:sz="4" w:space="0"/>
        <w:left w:val="single" w:color="C9C9C9" w:sz="4" w:space="0"/>
        <w:bottom w:val="single" w:color="C9C9C9" w:sz="4" w:space="0"/>
        <w:right w:val="single" w:color="C9C9C9" w:sz="4" w:space="0"/>
      </w:tblBorders>
    </w:tblPr>
    <w:tblStylePr w:type="firstRow">
      <w:rPr>
        <w:rFonts w:ascii="等线" w:hAnsi="等线"/>
        <w:b/>
        <w:color w:val="FFFFFF"/>
        <w:sz w:val="22"/>
      </w:r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C9C9C9" w:sz="4" w:space="0"/>
          <w:bottom w:val="nil"/>
          <w:right w:val="single" w:color="C9C9C9" w:sz="4" w:space="0"/>
          <w:insideH w:val="nil"/>
          <w:insideV w:val="nil"/>
          <w:tl2br w:val="nil"/>
          <w:tr2bl w:val="nil"/>
        </w:tcBorders>
      </w:tcPr>
    </w:tblStylePr>
    <w:tblStylePr w:type="band1Horz">
      <w:rPr>
        <w:rFonts w:ascii="等线" w:hAnsi="等线"/>
        <w:color w:val="404040"/>
        <w:sz w:val="22"/>
      </w:rPr>
      <w:tcPr>
        <w:tcBorders>
          <w:top w:val="single" w:color="C9C9C9" w:sz="4" w:space="0"/>
          <w:left w:val="nil"/>
          <w:bottom w:val="single" w:color="C9C9C9" w:sz="4" w:space="0"/>
          <w:right w:val="nil"/>
          <w:insideH w:val="nil"/>
          <w:insideV w:val="nil"/>
          <w:tl2br w:val="nil"/>
          <w:tr2bl w:val="nil"/>
        </w:tcBorders>
      </w:tcPr>
    </w:tblStylePr>
  </w:style>
  <w:style w:type="table" w:customStyle="1" w:styleId="225">
    <w:name w:val="List Table 3 - Accent 4"/>
    <w:basedOn w:val="53"/>
    <w:qFormat/>
    <w:uiPriority w:val="99"/>
    <w:tblPr>
      <w:tblBorders>
        <w:top w:val="single" w:color="FFD864" w:sz="4" w:space="0"/>
        <w:left w:val="single" w:color="FFD864" w:sz="4" w:space="0"/>
        <w:bottom w:val="single" w:color="FFD864" w:sz="4" w:space="0"/>
        <w:right w:val="single" w:color="FFD864" w:sz="4" w:space="0"/>
      </w:tblBorders>
    </w:tblPr>
    <w:tblStylePr w:type="firstRow">
      <w:rPr>
        <w:rFonts w:ascii="等线" w:hAnsi="等线"/>
        <w:b/>
        <w:color w:val="FFFFFF"/>
        <w:sz w:val="22"/>
      </w:rPr>
      <w:tcPr>
        <w:shd w:val="clear" w:color="FFD864" w:fill="FFD864"/>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FFD864" w:sz="4" w:space="0"/>
          <w:bottom w:val="nil"/>
          <w:right w:val="single" w:color="FFD864" w:sz="4" w:space="0"/>
          <w:insideH w:val="nil"/>
          <w:insideV w:val="nil"/>
          <w:tl2br w:val="nil"/>
          <w:tr2bl w:val="nil"/>
        </w:tcBorders>
      </w:tcPr>
    </w:tblStylePr>
    <w:tblStylePr w:type="band1Horz">
      <w:rPr>
        <w:rFonts w:ascii="等线" w:hAnsi="等线"/>
        <w:color w:val="404040"/>
        <w:sz w:val="22"/>
      </w:rPr>
      <w:tcPr>
        <w:tcBorders>
          <w:top w:val="single" w:color="FFD864" w:sz="4" w:space="0"/>
          <w:left w:val="nil"/>
          <w:bottom w:val="single" w:color="FFD864" w:sz="4" w:space="0"/>
          <w:right w:val="nil"/>
          <w:insideH w:val="nil"/>
          <w:insideV w:val="nil"/>
          <w:tl2br w:val="nil"/>
          <w:tr2bl w:val="nil"/>
        </w:tcBorders>
      </w:tcPr>
    </w:tblStylePr>
  </w:style>
  <w:style w:type="table" w:customStyle="1" w:styleId="226">
    <w:name w:val="List Table 3 - Accent 5"/>
    <w:basedOn w:val="53"/>
    <w:qFormat/>
    <w:uiPriority w:val="99"/>
    <w:tblPr>
      <w:tblBorders>
        <w:top w:val="single" w:color="8EA9DB" w:sz="4" w:space="0"/>
        <w:left w:val="single" w:color="8EA9DB" w:sz="4" w:space="0"/>
        <w:bottom w:val="single" w:color="8EA9DB" w:sz="4" w:space="0"/>
        <w:right w:val="single" w:color="8EA9DB" w:sz="4" w:space="0"/>
      </w:tblBorders>
    </w:tblPr>
    <w:tblStylePr w:type="firstRow">
      <w:rPr>
        <w:rFonts w:ascii="等线" w:hAnsi="等线"/>
        <w:b/>
        <w:color w:val="FFFFFF"/>
        <w:sz w:val="22"/>
      </w:rPr>
      <w:tcPr>
        <w:shd w:val="clear" w:color="8EA9DB" w:fill="8EA9DB"/>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8EA9DB" w:sz="4" w:space="0"/>
          <w:bottom w:val="nil"/>
          <w:right w:val="single" w:color="8EA9DB" w:sz="4" w:space="0"/>
          <w:insideH w:val="nil"/>
          <w:insideV w:val="nil"/>
          <w:tl2br w:val="nil"/>
          <w:tr2bl w:val="nil"/>
        </w:tcBorders>
      </w:tcPr>
    </w:tblStylePr>
    <w:tblStylePr w:type="band1Horz">
      <w:rPr>
        <w:rFonts w:ascii="等线" w:hAnsi="等线"/>
        <w:color w:val="404040"/>
        <w:sz w:val="22"/>
      </w:rPr>
      <w:tcPr>
        <w:tcBorders>
          <w:top w:val="single" w:color="8EA9DB" w:sz="4" w:space="0"/>
          <w:left w:val="nil"/>
          <w:bottom w:val="single" w:color="8EA9DB" w:sz="4" w:space="0"/>
          <w:right w:val="nil"/>
          <w:insideH w:val="nil"/>
          <w:insideV w:val="nil"/>
          <w:tl2br w:val="nil"/>
          <w:tr2bl w:val="nil"/>
        </w:tcBorders>
      </w:tcPr>
    </w:tblStylePr>
  </w:style>
  <w:style w:type="table" w:customStyle="1" w:styleId="227">
    <w:name w:val="List Table 3 - Accent 6"/>
    <w:basedOn w:val="53"/>
    <w:qFormat/>
    <w:uiPriority w:val="99"/>
    <w:tblPr>
      <w:tblBorders>
        <w:top w:val="single" w:color="A9D08E" w:sz="4" w:space="0"/>
        <w:left w:val="single" w:color="A9D08E" w:sz="4" w:space="0"/>
        <w:bottom w:val="single" w:color="A9D08E" w:sz="4" w:space="0"/>
        <w:right w:val="single" w:color="A9D08E" w:sz="4" w:space="0"/>
      </w:tblBorders>
    </w:tblPr>
    <w:tblStylePr w:type="firstRow">
      <w:rPr>
        <w:rFonts w:ascii="等线" w:hAnsi="等线"/>
        <w:b/>
        <w:color w:val="FFFFFF"/>
        <w:sz w:val="22"/>
      </w:r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tcBorders>
          <w:top w:val="nil"/>
          <w:left w:val="single" w:color="A9D08E" w:sz="4" w:space="0"/>
          <w:bottom w:val="nil"/>
          <w:right w:val="single" w:color="A9D08E" w:sz="4" w:space="0"/>
          <w:insideH w:val="nil"/>
          <w:insideV w:val="nil"/>
          <w:tl2br w:val="nil"/>
          <w:tr2bl w:val="nil"/>
        </w:tcBorders>
      </w:tcPr>
    </w:tblStylePr>
    <w:tblStylePr w:type="band1Horz">
      <w:rPr>
        <w:rFonts w:ascii="等线" w:hAnsi="等线"/>
        <w:color w:val="404040"/>
        <w:sz w:val="22"/>
      </w:rPr>
      <w:tcPr>
        <w:tcBorders>
          <w:top w:val="single" w:color="A9D08E" w:sz="4" w:space="0"/>
          <w:left w:val="nil"/>
          <w:bottom w:val="single" w:color="A9D08E" w:sz="4" w:space="0"/>
          <w:right w:val="nil"/>
          <w:insideH w:val="nil"/>
          <w:insideV w:val="nil"/>
          <w:tl2br w:val="nil"/>
          <w:tr2bl w:val="nil"/>
        </w:tcBorders>
      </w:tcPr>
    </w:tblStylePr>
  </w:style>
  <w:style w:type="table" w:customStyle="1" w:styleId="228">
    <w:name w:val="List Table 4 - Accent 1"/>
    <w:basedOn w:val="53"/>
    <w:qFormat/>
    <w:uiPriority w:val="99"/>
    <w:tblPr>
      <w:tblBorders>
        <w:top w:val="single" w:color="A2C6E7" w:sz="4" w:space="0"/>
        <w:left w:val="single" w:color="A2C6E7" w:sz="4" w:space="0"/>
        <w:bottom w:val="single" w:color="A2C6E7" w:sz="4" w:space="0"/>
        <w:right w:val="single" w:color="A2C6E7" w:sz="4" w:space="0"/>
        <w:insideH w:val="single" w:color="A2C6E7" w:sz="4" w:space="0"/>
      </w:tblBorders>
    </w:tblPr>
    <w:tblStylePr w:type="firstRow">
      <w:rPr>
        <w:rFonts w:ascii="等线" w:hAnsi="等线"/>
        <w:b/>
        <w:color w:val="FFFFFF"/>
        <w:sz w:val="22"/>
      </w:r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5E5F4" w:fill="D5E5F4"/>
      </w:tcPr>
    </w:tblStylePr>
    <w:tblStylePr w:type="band1Horz">
      <w:rPr>
        <w:rFonts w:ascii="等线" w:hAnsi="等线"/>
        <w:color w:val="404040"/>
        <w:sz w:val="22"/>
      </w:rPr>
      <w:tcPr>
        <w:shd w:val="clear" w:color="D5E5F4" w:fill="D5E5F4"/>
      </w:tcPr>
    </w:tblStylePr>
  </w:style>
  <w:style w:type="table" w:customStyle="1" w:styleId="229">
    <w:name w:val="List Table 4 - Accent 2"/>
    <w:basedOn w:val="53"/>
    <w:qFormat/>
    <w:uiPriority w:val="99"/>
    <w:tblPr>
      <w:tblBorders>
        <w:top w:val="single" w:color="F4B58A" w:sz="4" w:space="0"/>
        <w:left w:val="single" w:color="F4B58A" w:sz="4" w:space="0"/>
        <w:bottom w:val="single" w:color="F4B58A" w:sz="4" w:space="0"/>
        <w:right w:val="single" w:color="F4B58A" w:sz="4" w:space="0"/>
        <w:insideH w:val="single" w:color="F4B58A" w:sz="4" w:space="0"/>
      </w:tblBorders>
    </w:tblPr>
    <w:tblStylePr w:type="firstRow">
      <w:rPr>
        <w:rFonts w:ascii="等线" w:hAnsi="等线"/>
        <w:b/>
        <w:color w:val="FFFFFF"/>
        <w:sz w:val="22"/>
      </w:r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ADECB" w:fill="FADECB"/>
      </w:tcPr>
    </w:tblStylePr>
    <w:tblStylePr w:type="band1Horz">
      <w:rPr>
        <w:rFonts w:ascii="等线" w:hAnsi="等线"/>
        <w:color w:val="404040"/>
        <w:sz w:val="22"/>
      </w:rPr>
      <w:tcPr>
        <w:shd w:val="clear" w:color="FADECB" w:fill="FADECB"/>
      </w:tcPr>
    </w:tblStylePr>
  </w:style>
  <w:style w:type="table" w:customStyle="1" w:styleId="230">
    <w:name w:val="List Table 4 - Accent 3"/>
    <w:basedOn w:val="53"/>
    <w:qFormat/>
    <w:uiPriority w:val="99"/>
    <w:tblPr>
      <w:tblBorders>
        <w:top w:val="single" w:color="CCCCCC" w:sz="4" w:space="0"/>
        <w:left w:val="single" w:color="CCCCCC" w:sz="4" w:space="0"/>
        <w:bottom w:val="single" w:color="CCCCCC" w:sz="4" w:space="0"/>
        <w:right w:val="single" w:color="CCCCCC" w:sz="4" w:space="0"/>
        <w:insideH w:val="single" w:color="CCCCCC" w:sz="4" w:space="0"/>
      </w:tblBorders>
    </w:tblPr>
    <w:tblStylePr w:type="firstRow">
      <w:rPr>
        <w:rFonts w:ascii="等线" w:hAnsi="等线"/>
        <w:b/>
        <w:color w:val="FFFFFF"/>
        <w:sz w:val="22"/>
      </w:r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E8E8E8" w:fill="E8E8E8"/>
      </w:tcPr>
    </w:tblStylePr>
    <w:tblStylePr w:type="band1Horz">
      <w:rPr>
        <w:rFonts w:ascii="等线" w:hAnsi="等线"/>
        <w:color w:val="404040"/>
        <w:sz w:val="22"/>
      </w:rPr>
      <w:tcPr>
        <w:shd w:val="clear" w:color="E8E8E8" w:fill="E8E8E8"/>
      </w:tcPr>
    </w:tblStylePr>
  </w:style>
  <w:style w:type="table" w:customStyle="1" w:styleId="231">
    <w:name w:val="List Table 4 - Accent 4"/>
    <w:basedOn w:val="53"/>
    <w:qFormat/>
    <w:uiPriority w:val="99"/>
    <w:tblPr>
      <w:tblBorders>
        <w:top w:val="single" w:color="FFDB6E" w:sz="4" w:space="0"/>
        <w:left w:val="single" w:color="FFDB6E" w:sz="4" w:space="0"/>
        <w:bottom w:val="single" w:color="FFDB6E" w:sz="4" w:space="0"/>
        <w:right w:val="single" w:color="FFDB6E" w:sz="4" w:space="0"/>
        <w:insideH w:val="single" w:color="FFDB6E" w:sz="4" w:space="0"/>
      </w:tblBorders>
    </w:tblPr>
    <w:tblStylePr w:type="firstRow">
      <w:rPr>
        <w:rFonts w:ascii="等线" w:hAnsi="等线"/>
        <w:b/>
        <w:color w:val="FFFFFF"/>
        <w:sz w:val="22"/>
      </w:r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FFEFBE" w:fill="FFEFBE"/>
      </w:tcPr>
    </w:tblStylePr>
    <w:tblStylePr w:type="band1Horz">
      <w:rPr>
        <w:rFonts w:ascii="等线" w:hAnsi="等线"/>
        <w:color w:val="404040"/>
        <w:sz w:val="22"/>
      </w:rPr>
      <w:tcPr>
        <w:shd w:val="clear" w:color="FFEFBE" w:fill="FFEFBE"/>
      </w:tcPr>
    </w:tblStylePr>
  </w:style>
  <w:style w:type="table" w:customStyle="1" w:styleId="232">
    <w:name w:val="List Table 4 - Accent 5"/>
    <w:basedOn w:val="53"/>
    <w:qFormat/>
    <w:uiPriority w:val="99"/>
    <w:tblPr>
      <w:tblBorders>
        <w:top w:val="single" w:color="95AFDD" w:sz="4" w:space="0"/>
        <w:left w:val="single" w:color="95AFDD" w:sz="4" w:space="0"/>
        <w:bottom w:val="single" w:color="95AFDD" w:sz="4" w:space="0"/>
        <w:right w:val="single" w:color="95AFDD" w:sz="4" w:space="0"/>
        <w:insideH w:val="single" w:color="95AFDD" w:sz="4" w:space="0"/>
      </w:tblBorders>
    </w:tblPr>
    <w:tblStylePr w:type="firstRow">
      <w:rPr>
        <w:rFonts w:ascii="等线" w:hAnsi="等线"/>
        <w:b/>
        <w:color w:val="FFFFFF"/>
        <w:sz w:val="22"/>
      </w:r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0DBF0" w:fill="D0DBF0"/>
      </w:tcPr>
    </w:tblStylePr>
    <w:tblStylePr w:type="band1Horz">
      <w:rPr>
        <w:rFonts w:ascii="等线" w:hAnsi="等线"/>
        <w:color w:val="404040"/>
        <w:sz w:val="22"/>
      </w:rPr>
      <w:tcPr>
        <w:shd w:val="clear" w:color="D0DBF0" w:fill="D0DBF0"/>
      </w:tcPr>
    </w:tblStylePr>
  </w:style>
  <w:style w:type="table" w:customStyle="1" w:styleId="233">
    <w:name w:val="List Table 4 - Accent 6"/>
    <w:basedOn w:val="53"/>
    <w:qFormat/>
    <w:uiPriority w:val="99"/>
    <w:tblPr>
      <w:tblBorders>
        <w:top w:val="single" w:color="ADD394" w:sz="4" w:space="0"/>
        <w:left w:val="single" w:color="ADD394" w:sz="4" w:space="0"/>
        <w:bottom w:val="single" w:color="ADD394" w:sz="4" w:space="0"/>
        <w:right w:val="single" w:color="ADD394" w:sz="4" w:space="0"/>
        <w:insideH w:val="single" w:color="ADD394" w:sz="4" w:space="0"/>
      </w:tblBorders>
    </w:tblPr>
    <w:tblStylePr w:type="firstRow">
      <w:rPr>
        <w:rFonts w:ascii="等线" w:hAnsi="等线"/>
        <w:b/>
        <w:color w:val="FFFFFF"/>
        <w:sz w:val="22"/>
      </w:r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等线" w:hAnsi="等线"/>
        <w:color w:val="404040"/>
        <w:sz w:val="22"/>
      </w:rPr>
      <w:tcPr>
        <w:shd w:val="clear" w:color="DAEBCF" w:fill="DAEBCF"/>
      </w:tcPr>
    </w:tblStylePr>
    <w:tblStylePr w:type="band1Horz">
      <w:rPr>
        <w:rFonts w:ascii="等线" w:hAnsi="等线"/>
        <w:color w:val="404040"/>
        <w:sz w:val="22"/>
      </w:rPr>
      <w:tcPr>
        <w:shd w:val="clear" w:color="DAEBCF" w:fill="DAEBCF"/>
      </w:tcPr>
    </w:tblStylePr>
  </w:style>
  <w:style w:type="table" w:customStyle="1" w:styleId="234">
    <w:name w:val="List Table 5 Dark - Accent 1"/>
    <w:basedOn w:val="53"/>
    <w:qFormat/>
    <w:uiPriority w:val="99"/>
    <w:tblPr>
      <w:tblBorders>
        <w:top w:val="single" w:color="5B9BD5" w:sz="32" w:space="0"/>
        <w:left w:val="single" w:color="5B9BD5" w:sz="32" w:space="0"/>
        <w:bottom w:val="single" w:color="5B9BD5" w:sz="32" w:space="0"/>
        <w:right w:val="single" w:color="5B9BD5" w:sz="32" w:space="0"/>
      </w:tblBorders>
    </w:tblPr>
    <w:tblStylePr w:type="firstRow">
      <w:rPr>
        <w:rFonts w:ascii="等线" w:hAnsi="等线"/>
        <w:b/>
        <w:color w:val="FFFFFF"/>
        <w:sz w:val="22"/>
      </w:rPr>
      <w:tcPr>
        <w:tcBorders>
          <w:top w:val="single" w:color="5B9BD5" w:sz="32" w:space="0"/>
          <w:left w:val="nil"/>
          <w:bottom w:val="single" w:color="FFFFFF" w:sz="12" w:space="0"/>
          <w:right w:val="nil"/>
          <w:insideH w:val="nil"/>
          <w:insideV w:val="nil"/>
          <w:tl2br w:val="nil"/>
          <w:tr2bl w:val="nil"/>
        </w:tcBorders>
        <w:shd w:val="clear" w:color="5B9BD5" w:fill="5B9BD5"/>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5B9BD5"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5B9BD5"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5B9BD5" w:fill="5B9BD5"/>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5B9BD5" w:fill="5B9BD5"/>
      </w:tcPr>
    </w:tblStylePr>
    <w:tblStylePr w:type="band2Horz">
      <w:tcPr>
        <w:tcBorders>
          <w:top w:val="single" w:color="FFFFFF" w:sz="4" w:space="0"/>
          <w:left w:val="nil"/>
          <w:bottom w:val="single" w:color="FFFFFF" w:sz="4" w:space="0"/>
          <w:right w:val="nil"/>
          <w:insideH w:val="nil"/>
          <w:insideV w:val="nil"/>
          <w:tl2br w:val="nil"/>
          <w:tr2bl w:val="nil"/>
        </w:tcBorders>
        <w:shd w:val="clear" w:color="5B9BD5" w:fill="5B9BD5"/>
      </w:tcPr>
    </w:tblStylePr>
  </w:style>
  <w:style w:type="table" w:customStyle="1" w:styleId="235">
    <w:name w:val="List Table 5 Dark - Accent 2"/>
    <w:basedOn w:val="53"/>
    <w:qFormat/>
    <w:uiPriority w:val="99"/>
    <w:tblPr>
      <w:tblBorders>
        <w:top w:val="single" w:color="F4B285" w:sz="32" w:space="0"/>
        <w:left w:val="single" w:color="F4B285" w:sz="32" w:space="0"/>
        <w:bottom w:val="single" w:color="F4B285" w:sz="32" w:space="0"/>
        <w:right w:val="single" w:color="F4B285" w:sz="32" w:space="0"/>
      </w:tblBorders>
    </w:tblPr>
    <w:tblStylePr w:type="firstRow">
      <w:rPr>
        <w:rFonts w:ascii="等线" w:hAnsi="等线"/>
        <w:b/>
        <w:color w:val="FFFFFF"/>
        <w:sz w:val="22"/>
      </w:rPr>
      <w:tcPr>
        <w:tcBorders>
          <w:top w:val="single" w:color="F4B285" w:sz="32" w:space="0"/>
          <w:left w:val="nil"/>
          <w:bottom w:val="single" w:color="FFFFFF" w:sz="12" w:space="0"/>
          <w:right w:val="nil"/>
          <w:insideH w:val="nil"/>
          <w:insideV w:val="nil"/>
          <w:tl2br w:val="nil"/>
          <w:tr2bl w:val="nil"/>
        </w:tcBorders>
        <w:shd w:val="clear" w:color="F4B285" w:fill="F4B285"/>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F4B285"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F4B285"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F4B285" w:fill="F4B285"/>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F4B285" w:fill="F4B285"/>
      </w:tcPr>
    </w:tblStylePr>
    <w:tblStylePr w:type="band2Horz">
      <w:tcPr>
        <w:tcBorders>
          <w:top w:val="single" w:color="FFFFFF" w:sz="4" w:space="0"/>
          <w:left w:val="nil"/>
          <w:bottom w:val="single" w:color="FFFFFF" w:sz="4" w:space="0"/>
          <w:right w:val="nil"/>
          <w:insideH w:val="nil"/>
          <w:insideV w:val="nil"/>
          <w:tl2br w:val="nil"/>
          <w:tr2bl w:val="nil"/>
        </w:tcBorders>
        <w:shd w:val="clear" w:color="F4B285" w:fill="F4B285"/>
      </w:tcPr>
    </w:tblStylePr>
  </w:style>
  <w:style w:type="table" w:customStyle="1" w:styleId="236">
    <w:name w:val="List Table 5 Dark - Accent 3"/>
    <w:basedOn w:val="53"/>
    <w:qFormat/>
    <w:uiPriority w:val="99"/>
    <w:tblPr>
      <w:tblBorders>
        <w:top w:val="single" w:color="C9C9C9" w:sz="32" w:space="0"/>
        <w:left w:val="single" w:color="C9C9C9" w:sz="32" w:space="0"/>
        <w:bottom w:val="single" w:color="C9C9C9" w:sz="32" w:space="0"/>
        <w:right w:val="single" w:color="C9C9C9" w:sz="32" w:space="0"/>
      </w:tblBorders>
    </w:tblPr>
    <w:tblStylePr w:type="firstRow">
      <w:rPr>
        <w:rFonts w:ascii="等线" w:hAnsi="等线"/>
        <w:b/>
        <w:color w:val="FFFFFF"/>
        <w:sz w:val="22"/>
      </w:rPr>
      <w:tcPr>
        <w:tcBorders>
          <w:top w:val="single" w:color="C9C9C9" w:sz="32" w:space="0"/>
          <w:left w:val="nil"/>
          <w:bottom w:val="single" w:color="FFFFFF" w:sz="12" w:space="0"/>
          <w:right w:val="nil"/>
          <w:insideH w:val="nil"/>
          <w:insideV w:val="nil"/>
          <w:tl2br w:val="nil"/>
          <w:tr2bl w:val="nil"/>
        </w:tcBorders>
        <w:shd w:val="clear" w:color="C9C9C9" w:fill="C9C9C9"/>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C9C9C9"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C9C9C9"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C9C9C9" w:fill="C9C9C9"/>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C9C9C9" w:fill="C9C9C9"/>
      </w:tcPr>
    </w:tblStylePr>
    <w:tblStylePr w:type="band2Horz">
      <w:tcPr>
        <w:tcBorders>
          <w:top w:val="single" w:color="FFFFFF" w:sz="4" w:space="0"/>
          <w:left w:val="nil"/>
          <w:bottom w:val="single" w:color="FFFFFF" w:sz="4" w:space="0"/>
          <w:right w:val="nil"/>
          <w:insideH w:val="nil"/>
          <w:insideV w:val="nil"/>
          <w:tl2br w:val="nil"/>
          <w:tr2bl w:val="nil"/>
        </w:tcBorders>
        <w:shd w:val="clear" w:color="C9C9C9" w:fill="C9C9C9"/>
      </w:tcPr>
    </w:tblStylePr>
  </w:style>
  <w:style w:type="table" w:customStyle="1" w:styleId="237">
    <w:name w:val="List Table 5 Dark - Accent 4"/>
    <w:basedOn w:val="53"/>
    <w:qFormat/>
    <w:uiPriority w:val="99"/>
    <w:tblPr>
      <w:tblBorders>
        <w:top w:val="single" w:color="FFD864" w:sz="32" w:space="0"/>
        <w:left w:val="single" w:color="FFD864" w:sz="32" w:space="0"/>
        <w:bottom w:val="single" w:color="FFD864" w:sz="32" w:space="0"/>
        <w:right w:val="single" w:color="FFD864" w:sz="32" w:space="0"/>
      </w:tblBorders>
    </w:tblPr>
    <w:tblStylePr w:type="firstRow">
      <w:rPr>
        <w:rFonts w:ascii="等线" w:hAnsi="等线"/>
        <w:b/>
        <w:color w:val="FFFFFF"/>
        <w:sz w:val="22"/>
      </w:rPr>
      <w:tcPr>
        <w:tcBorders>
          <w:top w:val="single" w:color="FFD864" w:sz="32" w:space="0"/>
          <w:left w:val="nil"/>
          <w:bottom w:val="single" w:color="FFFFFF" w:sz="12" w:space="0"/>
          <w:right w:val="nil"/>
          <w:insideH w:val="nil"/>
          <w:insideV w:val="nil"/>
          <w:tl2br w:val="nil"/>
          <w:tr2bl w:val="nil"/>
        </w:tcBorders>
        <w:shd w:val="clear" w:color="FFD864" w:fill="FFD864"/>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FFD864"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FFD864"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FFD864" w:fill="FFD864"/>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FFD864" w:fill="FFD864"/>
      </w:tcPr>
    </w:tblStylePr>
    <w:tblStylePr w:type="band2Horz">
      <w:tcPr>
        <w:tcBorders>
          <w:top w:val="single" w:color="FFFFFF" w:sz="4" w:space="0"/>
          <w:left w:val="nil"/>
          <w:bottom w:val="single" w:color="FFFFFF" w:sz="4" w:space="0"/>
          <w:right w:val="nil"/>
          <w:insideH w:val="nil"/>
          <w:insideV w:val="nil"/>
          <w:tl2br w:val="nil"/>
          <w:tr2bl w:val="nil"/>
        </w:tcBorders>
        <w:shd w:val="clear" w:color="FFD864" w:fill="FFD864"/>
      </w:tcPr>
    </w:tblStylePr>
  </w:style>
  <w:style w:type="table" w:customStyle="1" w:styleId="238">
    <w:name w:val="List Table 5 Dark - Accent 5"/>
    <w:basedOn w:val="53"/>
    <w:qFormat/>
    <w:uiPriority w:val="99"/>
    <w:tblPr>
      <w:tblBorders>
        <w:top w:val="single" w:color="8EA9DB" w:sz="32" w:space="0"/>
        <w:left w:val="single" w:color="8EA9DB" w:sz="32" w:space="0"/>
        <w:bottom w:val="single" w:color="8EA9DB" w:sz="32" w:space="0"/>
        <w:right w:val="single" w:color="8EA9DB" w:sz="32" w:space="0"/>
      </w:tblBorders>
    </w:tblPr>
    <w:tblStylePr w:type="firstRow">
      <w:rPr>
        <w:rFonts w:ascii="等线" w:hAnsi="等线"/>
        <w:b/>
        <w:color w:val="FFFFFF"/>
        <w:sz w:val="22"/>
      </w:rPr>
      <w:tcPr>
        <w:tcBorders>
          <w:top w:val="single" w:color="8EA9DB" w:sz="32" w:space="0"/>
          <w:left w:val="nil"/>
          <w:bottom w:val="single" w:color="FFFFFF" w:sz="12" w:space="0"/>
          <w:right w:val="nil"/>
          <w:insideH w:val="nil"/>
          <w:insideV w:val="nil"/>
          <w:tl2br w:val="nil"/>
          <w:tr2bl w:val="nil"/>
        </w:tcBorders>
        <w:shd w:val="clear" w:color="8EA9DB" w:fill="8EA9DB"/>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8EA9DB"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8EA9DB"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8EA9DB" w:fill="8EA9DB"/>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8EA9DB" w:fill="8EA9DB"/>
      </w:tcPr>
    </w:tblStylePr>
    <w:tblStylePr w:type="band2Horz">
      <w:tcPr>
        <w:tcBorders>
          <w:top w:val="single" w:color="FFFFFF" w:sz="4" w:space="0"/>
          <w:left w:val="nil"/>
          <w:bottom w:val="single" w:color="FFFFFF" w:sz="4" w:space="0"/>
          <w:right w:val="nil"/>
          <w:insideH w:val="nil"/>
          <w:insideV w:val="nil"/>
          <w:tl2br w:val="nil"/>
          <w:tr2bl w:val="nil"/>
        </w:tcBorders>
        <w:shd w:val="clear" w:color="8EA9DB" w:fill="8EA9DB"/>
      </w:tcPr>
    </w:tblStylePr>
  </w:style>
  <w:style w:type="table" w:customStyle="1" w:styleId="239">
    <w:name w:val="List Table 5 Dark - Accent 6"/>
    <w:basedOn w:val="53"/>
    <w:qFormat/>
    <w:uiPriority w:val="99"/>
    <w:tblPr>
      <w:tblBorders>
        <w:top w:val="single" w:color="A9D08E" w:sz="32" w:space="0"/>
        <w:left w:val="single" w:color="A9D08E" w:sz="32" w:space="0"/>
        <w:bottom w:val="single" w:color="A9D08E" w:sz="32" w:space="0"/>
        <w:right w:val="single" w:color="A9D08E" w:sz="32" w:space="0"/>
      </w:tblBorders>
    </w:tblPr>
    <w:tblStylePr w:type="firstRow">
      <w:rPr>
        <w:rFonts w:ascii="等线" w:hAnsi="等线"/>
        <w:b/>
        <w:color w:val="FFFFFF"/>
        <w:sz w:val="22"/>
      </w:rPr>
      <w:tcPr>
        <w:tcBorders>
          <w:top w:val="single" w:color="A9D08E" w:sz="32" w:space="0"/>
          <w:left w:val="nil"/>
          <w:bottom w:val="single" w:color="FFFFFF" w:sz="12" w:space="0"/>
          <w:right w:val="nil"/>
          <w:insideH w:val="nil"/>
          <w:insideV w:val="nil"/>
          <w:tl2br w:val="nil"/>
          <w:tr2bl w:val="nil"/>
        </w:tcBorders>
        <w:shd w:val="clear" w:color="A9D08E" w:fill="A9D08E"/>
      </w:tcPr>
    </w:tblStylePr>
    <w:tblStylePr w:type="lastRow">
      <w:rPr>
        <w:rFonts w:ascii="等线" w:hAnsi="等线"/>
        <w:b/>
        <w:color w:val="FFFFFF"/>
        <w:sz w:val="22"/>
      </w:rPr>
    </w:tblStylePr>
    <w:tblStylePr w:type="firstCol">
      <w:rPr>
        <w:rFonts w:ascii="等线" w:hAnsi="等线"/>
        <w:b/>
        <w:color w:val="FFFFFF"/>
        <w:sz w:val="22"/>
      </w:rPr>
      <w:tcPr>
        <w:tcBorders>
          <w:top w:val="nil"/>
          <w:left w:val="single" w:color="A9D08E" w:sz="32" w:space="0"/>
          <w:bottom w:val="nil"/>
          <w:right w:val="single" w:color="FFFFFF" w:sz="4" w:space="0"/>
          <w:insideH w:val="nil"/>
          <w:insideV w:val="nil"/>
          <w:tl2br w:val="nil"/>
          <w:tr2bl w:val="nil"/>
        </w:tcBorders>
      </w:tcPr>
    </w:tblStylePr>
    <w:tblStylePr w:type="lastCol">
      <w:tcPr>
        <w:tcBorders>
          <w:top w:val="nil"/>
          <w:left w:val="single" w:color="FFFFFF" w:sz="4" w:space="0"/>
          <w:bottom w:val="nil"/>
          <w:right w:val="single" w:color="A9D08E" w:sz="32" w:space="0"/>
          <w:insideH w:val="nil"/>
          <w:insideV w:val="nil"/>
          <w:tl2br w:val="nil"/>
          <w:tr2bl w:val="nil"/>
        </w:tcBorders>
      </w:tcPr>
    </w:tblStylePr>
    <w:tblStylePr w:type="band1Vert">
      <w:tcPr>
        <w:tcBorders>
          <w:top w:val="nil"/>
          <w:left w:val="single" w:color="FFFFFF" w:sz="4" w:space="0"/>
          <w:bottom w:val="nil"/>
          <w:right w:val="single" w:color="FFFFFF" w:sz="4" w:space="0"/>
          <w:insideH w:val="nil"/>
          <w:insideV w:val="nil"/>
          <w:tl2br w:val="nil"/>
          <w:tr2bl w:val="nil"/>
        </w:tcBorders>
        <w:shd w:val="clear" w:color="A9D08E" w:fill="A9D08E"/>
      </w:tcPr>
    </w:tblStylePr>
    <w:tblStylePr w:type="band2Vert">
      <w:tcPr>
        <w:tcBorders>
          <w:top w:val="nil"/>
          <w:left w:val="single" w:color="FFFFFF" w:sz="4" w:space="0"/>
          <w:bottom w:val="nil"/>
          <w:right w:val="single" w:color="FFFFFF" w:sz="4" w:space="0"/>
          <w:insideH w:val="nil"/>
          <w:insideV w:val="nil"/>
          <w:tl2br w:val="nil"/>
          <w:tr2bl w:val="nil"/>
        </w:tcBorders>
      </w:tcPr>
    </w:tblStylePr>
    <w:tblStylePr w:type="band1Horz">
      <w:tcPr>
        <w:tcBorders>
          <w:top w:val="single" w:color="FFFFFF" w:sz="4" w:space="0"/>
          <w:left w:val="nil"/>
          <w:bottom w:val="single" w:color="FFFFFF" w:sz="4" w:space="0"/>
          <w:right w:val="nil"/>
          <w:insideH w:val="nil"/>
          <w:insideV w:val="nil"/>
          <w:tl2br w:val="nil"/>
          <w:tr2bl w:val="nil"/>
        </w:tcBorders>
        <w:shd w:val="clear" w:color="A9D08E" w:fill="A9D08E"/>
      </w:tcPr>
    </w:tblStylePr>
    <w:tblStylePr w:type="band2Horz">
      <w:tcPr>
        <w:tcBorders>
          <w:top w:val="single" w:color="FFFFFF" w:sz="4" w:space="0"/>
          <w:left w:val="nil"/>
          <w:bottom w:val="single" w:color="FFFFFF" w:sz="4" w:space="0"/>
          <w:right w:val="nil"/>
          <w:insideH w:val="nil"/>
          <w:insideV w:val="nil"/>
          <w:tl2br w:val="nil"/>
          <w:tr2bl w:val="nil"/>
        </w:tcBorders>
        <w:shd w:val="clear" w:color="A9D08E" w:fill="A9D08E"/>
      </w:tcPr>
    </w:tblStylePr>
  </w:style>
  <w:style w:type="table" w:customStyle="1" w:styleId="240">
    <w:name w:val="List Table 6 Colorful - Accent 1"/>
    <w:basedOn w:val="53"/>
    <w:qFormat/>
    <w:uiPriority w:val="99"/>
    <w:tblPr>
      <w:tblBorders>
        <w:top w:val="single" w:color="5B9BD5" w:sz="4" w:space="0"/>
        <w:bottom w:val="single" w:color="5B9BD5" w:sz="4" w:space="0"/>
      </w:tblBorders>
    </w:tblPr>
    <w:tblStylePr w:type="firstRow">
      <w:rPr>
        <w:b/>
        <w:color w:val="235A8C"/>
      </w:rPr>
      <w:tcPr>
        <w:tcBorders>
          <w:top w:val="nil"/>
          <w:left w:val="nil"/>
          <w:bottom w:val="single" w:color="5B9BD5" w:sz="4" w:space="0"/>
          <w:right w:val="nil"/>
          <w:insideH w:val="nil"/>
          <w:insideV w:val="nil"/>
          <w:tl2br w:val="nil"/>
          <w:tr2bl w:val="nil"/>
        </w:tcBorders>
      </w:tcPr>
    </w:tblStylePr>
    <w:tblStylePr w:type="lastRow">
      <w:rPr>
        <w:b/>
        <w:color w:val="235A8C"/>
      </w:rPr>
      <w:tcPr>
        <w:tcBorders>
          <w:top w:val="single" w:color="5B9BD5" w:sz="4" w:space="0"/>
          <w:left w:val="nil"/>
          <w:bottom w:val="nil"/>
          <w:right w:val="nil"/>
          <w:insideH w:val="nil"/>
          <w:insideV w:val="nil"/>
          <w:tl2br w:val="nil"/>
          <w:tr2bl w:val="nil"/>
        </w:tcBorders>
      </w:tcPr>
    </w:tblStylePr>
    <w:tblStylePr w:type="firstCol">
      <w:rPr>
        <w:b/>
        <w:color w:val="235A8C"/>
      </w:rPr>
    </w:tblStylePr>
    <w:tblStylePr w:type="lastCol">
      <w:rPr>
        <w:b/>
        <w:color w:val="235A8C"/>
      </w:rPr>
    </w:tblStylePr>
    <w:tblStylePr w:type="band1Vert">
      <w:tcPr>
        <w:shd w:val="clear" w:color="D5E5F4" w:fill="D5E5F4"/>
      </w:tcPr>
    </w:tblStylePr>
    <w:tblStylePr w:type="band1Horz">
      <w:rPr>
        <w:rFonts w:ascii="等线" w:hAnsi="等线"/>
        <w:color w:val="235A8C"/>
        <w:sz w:val="22"/>
      </w:rPr>
      <w:tcPr>
        <w:shd w:val="clear" w:color="D5E5F4" w:fill="D5E5F4"/>
      </w:tcPr>
    </w:tblStylePr>
    <w:tblStylePr w:type="band2Horz">
      <w:rPr>
        <w:rFonts w:ascii="等线" w:hAnsi="等线"/>
        <w:color w:val="235A8C"/>
        <w:sz w:val="22"/>
      </w:rPr>
    </w:tblStylePr>
  </w:style>
  <w:style w:type="table" w:customStyle="1" w:styleId="241">
    <w:name w:val="List Table 6 Colorful - Accent 2"/>
    <w:basedOn w:val="53"/>
    <w:qFormat/>
    <w:uiPriority w:val="99"/>
    <w:tblPr>
      <w:tblBorders>
        <w:top w:val="single" w:color="F4B285" w:sz="4" w:space="0"/>
        <w:bottom w:val="single" w:color="F4B285" w:sz="4" w:space="0"/>
      </w:tblBorders>
    </w:tblPr>
    <w:tblStylePr w:type="firstRow">
      <w:rPr>
        <w:b/>
        <w:color w:val="F4B285"/>
      </w:rPr>
      <w:tcPr>
        <w:tcBorders>
          <w:top w:val="nil"/>
          <w:left w:val="nil"/>
          <w:bottom w:val="single" w:color="F4B285" w:sz="4" w:space="0"/>
          <w:right w:val="nil"/>
          <w:insideH w:val="nil"/>
          <w:insideV w:val="nil"/>
          <w:tl2br w:val="nil"/>
          <w:tr2bl w:val="nil"/>
        </w:tcBorders>
      </w:tcPr>
    </w:tblStylePr>
    <w:tblStylePr w:type="lastRow">
      <w:rPr>
        <w:b/>
        <w:color w:val="F4B285"/>
      </w:rPr>
      <w:tcPr>
        <w:tcBorders>
          <w:top w:val="single" w:color="F4B285" w:sz="4" w:space="0"/>
          <w:left w:val="nil"/>
          <w:bottom w:val="nil"/>
          <w:right w:val="nil"/>
          <w:insideH w:val="nil"/>
          <w:insideV w:val="nil"/>
          <w:tl2br w:val="nil"/>
          <w:tr2bl w:val="nil"/>
        </w:tcBorders>
      </w:tcPr>
    </w:tblStylePr>
    <w:tblStylePr w:type="firstCol">
      <w:rPr>
        <w:b/>
        <w:color w:val="F4B285"/>
      </w:rPr>
    </w:tblStylePr>
    <w:tblStylePr w:type="lastCol">
      <w:rPr>
        <w:b/>
        <w:color w:val="F4B285"/>
      </w:rPr>
    </w:tblStylePr>
    <w:tblStylePr w:type="band1Vert">
      <w:tcPr>
        <w:shd w:val="clear" w:color="FADECB" w:fill="FADECB"/>
      </w:tcPr>
    </w:tblStylePr>
    <w:tblStylePr w:type="band1Horz">
      <w:rPr>
        <w:rFonts w:ascii="等线" w:hAnsi="等线"/>
        <w:color w:val="F4B285"/>
        <w:sz w:val="22"/>
      </w:rPr>
      <w:tcPr>
        <w:shd w:val="clear" w:color="FADECB" w:fill="FADECB"/>
      </w:tcPr>
    </w:tblStylePr>
    <w:tblStylePr w:type="band2Horz">
      <w:rPr>
        <w:rFonts w:ascii="等线" w:hAnsi="等线"/>
        <w:color w:val="F4B285"/>
        <w:sz w:val="22"/>
      </w:rPr>
    </w:tblStylePr>
  </w:style>
  <w:style w:type="table" w:customStyle="1" w:styleId="242">
    <w:name w:val="List Table 6 Colorful - Accent 3"/>
    <w:basedOn w:val="53"/>
    <w:qFormat/>
    <w:uiPriority w:val="99"/>
    <w:tblPr>
      <w:tblBorders>
        <w:top w:val="single" w:color="C9C9C9" w:sz="4" w:space="0"/>
        <w:bottom w:val="single" w:color="C9C9C9" w:sz="4" w:space="0"/>
      </w:tblBorders>
    </w:tblPr>
    <w:tblStylePr w:type="firstRow">
      <w:rPr>
        <w:b/>
        <w:color w:val="C8C8C8"/>
      </w:rPr>
      <w:tcPr>
        <w:tcBorders>
          <w:top w:val="nil"/>
          <w:left w:val="nil"/>
          <w:bottom w:val="single" w:color="C9C9C9" w:sz="4" w:space="0"/>
          <w:right w:val="nil"/>
          <w:insideH w:val="nil"/>
          <w:insideV w:val="nil"/>
          <w:tl2br w:val="nil"/>
          <w:tr2bl w:val="nil"/>
        </w:tcBorders>
      </w:tcPr>
    </w:tblStylePr>
    <w:tblStylePr w:type="lastRow">
      <w:rPr>
        <w:b/>
        <w:color w:val="C8C8C8"/>
      </w:rPr>
      <w:tcPr>
        <w:tcBorders>
          <w:top w:val="single" w:color="C9C9C9" w:sz="4" w:space="0"/>
          <w:left w:val="nil"/>
          <w:bottom w:val="nil"/>
          <w:right w:val="nil"/>
          <w:insideH w:val="nil"/>
          <w:insideV w:val="nil"/>
          <w:tl2br w:val="nil"/>
          <w:tr2bl w:val="nil"/>
        </w:tcBorders>
      </w:tcPr>
    </w:tblStylePr>
    <w:tblStylePr w:type="firstCol">
      <w:rPr>
        <w:b/>
        <w:color w:val="C8C8C8"/>
      </w:rPr>
    </w:tblStylePr>
    <w:tblStylePr w:type="lastCol">
      <w:rPr>
        <w:b/>
        <w:color w:val="C8C8C8"/>
      </w:rPr>
    </w:tblStylePr>
    <w:tblStylePr w:type="band1Vert">
      <w:tcPr>
        <w:shd w:val="clear" w:color="E8E8E8" w:fill="E8E8E8"/>
      </w:tcPr>
    </w:tblStylePr>
    <w:tblStylePr w:type="band1Horz">
      <w:rPr>
        <w:rFonts w:ascii="等线" w:hAnsi="等线"/>
        <w:color w:val="C8C8C8"/>
        <w:sz w:val="22"/>
      </w:rPr>
      <w:tcPr>
        <w:shd w:val="clear" w:color="E8E8E8" w:fill="E8E8E8"/>
      </w:tcPr>
    </w:tblStylePr>
    <w:tblStylePr w:type="band2Horz">
      <w:rPr>
        <w:rFonts w:ascii="等线" w:hAnsi="等线"/>
        <w:color w:val="C8C8C8"/>
        <w:sz w:val="22"/>
      </w:rPr>
    </w:tblStylePr>
  </w:style>
  <w:style w:type="table" w:customStyle="1" w:styleId="243">
    <w:name w:val="List Table 6 Colorful - Accent 4"/>
    <w:basedOn w:val="53"/>
    <w:qFormat/>
    <w:uiPriority w:val="99"/>
    <w:tblPr>
      <w:tblBorders>
        <w:top w:val="single" w:color="FFD864" w:sz="4" w:space="0"/>
        <w:bottom w:val="single" w:color="FFD864" w:sz="4" w:space="0"/>
      </w:tblBorders>
    </w:tblPr>
    <w:tblStylePr w:type="firstRow">
      <w:rPr>
        <w:b/>
        <w:color w:val="FFD965"/>
      </w:rPr>
      <w:tcPr>
        <w:tcBorders>
          <w:top w:val="nil"/>
          <w:left w:val="nil"/>
          <w:bottom w:val="single" w:color="FFD864" w:sz="4" w:space="0"/>
          <w:right w:val="nil"/>
          <w:insideH w:val="nil"/>
          <w:insideV w:val="nil"/>
          <w:tl2br w:val="nil"/>
          <w:tr2bl w:val="nil"/>
        </w:tcBorders>
      </w:tcPr>
    </w:tblStylePr>
    <w:tblStylePr w:type="lastRow">
      <w:rPr>
        <w:b/>
        <w:color w:val="FFD965"/>
      </w:rPr>
      <w:tcPr>
        <w:tcBorders>
          <w:top w:val="single" w:color="FFD864" w:sz="4" w:space="0"/>
          <w:left w:val="nil"/>
          <w:bottom w:val="nil"/>
          <w:right w:val="nil"/>
          <w:insideH w:val="nil"/>
          <w:insideV w:val="nil"/>
          <w:tl2br w:val="nil"/>
          <w:tr2bl w:val="nil"/>
        </w:tcBorders>
      </w:tcPr>
    </w:tblStylePr>
    <w:tblStylePr w:type="firstCol">
      <w:rPr>
        <w:b/>
        <w:color w:val="FFD965"/>
      </w:rPr>
    </w:tblStylePr>
    <w:tblStylePr w:type="lastCol">
      <w:rPr>
        <w:b/>
        <w:color w:val="FFD965"/>
      </w:rPr>
    </w:tblStylePr>
    <w:tblStylePr w:type="band1Vert">
      <w:tcPr>
        <w:shd w:val="clear" w:color="FFEFBE" w:fill="FFEFBE"/>
      </w:tcPr>
    </w:tblStylePr>
    <w:tblStylePr w:type="band1Horz">
      <w:rPr>
        <w:rFonts w:ascii="等线" w:hAnsi="等线"/>
        <w:color w:val="FFD965"/>
        <w:sz w:val="22"/>
      </w:rPr>
      <w:tcPr>
        <w:shd w:val="clear" w:color="FFEFBE" w:fill="FFEFBE"/>
      </w:tcPr>
    </w:tblStylePr>
    <w:tblStylePr w:type="band2Horz">
      <w:rPr>
        <w:rFonts w:ascii="等线" w:hAnsi="等线"/>
        <w:color w:val="FFD965"/>
        <w:sz w:val="22"/>
      </w:rPr>
    </w:tblStylePr>
  </w:style>
  <w:style w:type="table" w:customStyle="1" w:styleId="244">
    <w:name w:val="List Table 6 Colorful - Accent 5"/>
    <w:basedOn w:val="53"/>
    <w:qFormat/>
    <w:uiPriority w:val="99"/>
    <w:tblPr>
      <w:tblBorders>
        <w:top w:val="single" w:color="8EA9DB" w:sz="4" w:space="0"/>
        <w:bottom w:val="single" w:color="8EA9DB" w:sz="4" w:space="0"/>
      </w:tblBorders>
    </w:tblPr>
    <w:tblStylePr w:type="firstRow">
      <w:rPr>
        <w:b/>
        <w:color w:val="8EAADB"/>
      </w:rPr>
      <w:tcPr>
        <w:tcBorders>
          <w:top w:val="nil"/>
          <w:left w:val="nil"/>
          <w:bottom w:val="single" w:color="8EA9DB" w:sz="4" w:space="0"/>
          <w:right w:val="nil"/>
          <w:insideH w:val="nil"/>
          <w:insideV w:val="nil"/>
          <w:tl2br w:val="nil"/>
          <w:tr2bl w:val="nil"/>
        </w:tcBorders>
      </w:tcPr>
    </w:tblStylePr>
    <w:tblStylePr w:type="lastRow">
      <w:rPr>
        <w:b/>
        <w:color w:val="8EAADB"/>
      </w:rPr>
      <w:tcPr>
        <w:tcBorders>
          <w:top w:val="single" w:color="8EA9DB" w:sz="4" w:space="0"/>
          <w:left w:val="nil"/>
          <w:bottom w:val="nil"/>
          <w:right w:val="nil"/>
          <w:insideH w:val="nil"/>
          <w:insideV w:val="nil"/>
          <w:tl2br w:val="nil"/>
          <w:tr2bl w:val="nil"/>
        </w:tcBorders>
      </w:tcPr>
    </w:tblStylePr>
    <w:tblStylePr w:type="firstCol">
      <w:rPr>
        <w:b/>
        <w:color w:val="8EAADB"/>
      </w:rPr>
    </w:tblStylePr>
    <w:tblStylePr w:type="lastCol">
      <w:rPr>
        <w:b/>
        <w:color w:val="8EAADB"/>
      </w:rPr>
    </w:tblStylePr>
    <w:tblStylePr w:type="band1Vert">
      <w:tcPr>
        <w:shd w:val="clear" w:color="D0DBF0" w:fill="D0DBF0"/>
      </w:tcPr>
    </w:tblStylePr>
    <w:tblStylePr w:type="band1Horz">
      <w:rPr>
        <w:rFonts w:ascii="等线" w:hAnsi="等线"/>
        <w:color w:val="8EAADB"/>
        <w:sz w:val="22"/>
      </w:rPr>
      <w:tcPr>
        <w:shd w:val="clear" w:color="D0DBF0" w:fill="D0DBF0"/>
      </w:tcPr>
    </w:tblStylePr>
    <w:tblStylePr w:type="band2Horz">
      <w:rPr>
        <w:rFonts w:ascii="等线" w:hAnsi="等线"/>
        <w:color w:val="8EAADB"/>
        <w:sz w:val="22"/>
      </w:rPr>
    </w:tblStylePr>
  </w:style>
  <w:style w:type="table" w:customStyle="1" w:styleId="245">
    <w:name w:val="List Table 6 Colorful - Accent 6"/>
    <w:basedOn w:val="53"/>
    <w:qFormat/>
    <w:uiPriority w:val="99"/>
    <w:tblPr>
      <w:tblBorders>
        <w:top w:val="single" w:color="A9D08E" w:sz="4" w:space="0"/>
        <w:bottom w:val="single" w:color="A9D08E" w:sz="4" w:space="0"/>
      </w:tblBorders>
    </w:tblPr>
    <w:tblStylePr w:type="firstRow">
      <w:rPr>
        <w:b/>
        <w:color w:val="A8D08D"/>
      </w:rPr>
      <w:tcPr>
        <w:tcBorders>
          <w:top w:val="nil"/>
          <w:left w:val="nil"/>
          <w:bottom w:val="single" w:color="A9D08E" w:sz="4" w:space="0"/>
          <w:right w:val="nil"/>
          <w:insideH w:val="nil"/>
          <w:insideV w:val="nil"/>
          <w:tl2br w:val="nil"/>
          <w:tr2bl w:val="nil"/>
        </w:tcBorders>
      </w:tcPr>
    </w:tblStylePr>
    <w:tblStylePr w:type="lastRow">
      <w:rPr>
        <w:b/>
        <w:color w:val="A8D08D"/>
      </w:rPr>
      <w:tcPr>
        <w:tcBorders>
          <w:top w:val="single" w:color="A9D08E" w:sz="4" w:space="0"/>
          <w:left w:val="nil"/>
          <w:bottom w:val="nil"/>
          <w:right w:val="nil"/>
          <w:insideH w:val="nil"/>
          <w:insideV w:val="nil"/>
          <w:tl2br w:val="nil"/>
          <w:tr2bl w:val="nil"/>
        </w:tcBorders>
      </w:tcPr>
    </w:tblStylePr>
    <w:tblStylePr w:type="firstCol">
      <w:rPr>
        <w:b/>
        <w:color w:val="A8D08D"/>
      </w:rPr>
    </w:tblStylePr>
    <w:tblStylePr w:type="lastCol">
      <w:rPr>
        <w:b/>
        <w:color w:val="A8D08D"/>
      </w:rPr>
    </w:tblStylePr>
    <w:tblStylePr w:type="band1Vert">
      <w:tcPr>
        <w:shd w:val="clear" w:color="DAEBCF" w:fill="DAEBCF"/>
      </w:tcPr>
    </w:tblStylePr>
    <w:tblStylePr w:type="band1Horz">
      <w:rPr>
        <w:rFonts w:ascii="等线" w:hAnsi="等线"/>
        <w:color w:val="A8D08D"/>
        <w:sz w:val="22"/>
      </w:rPr>
      <w:tcPr>
        <w:shd w:val="clear" w:color="DAEBCF" w:fill="DAEBCF"/>
      </w:tcPr>
    </w:tblStylePr>
    <w:tblStylePr w:type="band2Horz">
      <w:rPr>
        <w:rFonts w:ascii="等线" w:hAnsi="等线"/>
        <w:color w:val="A8D08D"/>
        <w:sz w:val="22"/>
      </w:rPr>
    </w:tblStylePr>
  </w:style>
  <w:style w:type="table" w:customStyle="1" w:styleId="246">
    <w:name w:val="List Table 7 Colorful - Accent 1"/>
    <w:basedOn w:val="53"/>
    <w:qFormat/>
    <w:uiPriority w:val="99"/>
    <w:tblPr>
      <w:tblBorders>
        <w:right w:val="single" w:color="5B9BD5" w:sz="4" w:space="0"/>
      </w:tblBorders>
    </w:tblPr>
    <w:tblStylePr w:type="firstRow">
      <w:rPr>
        <w:rFonts w:ascii="等线" w:hAnsi="等线"/>
        <w:i/>
        <w:color w:val="235A8C"/>
        <w:sz w:val="22"/>
      </w:rPr>
      <w:tcPr>
        <w:tcBorders>
          <w:top w:val="nil"/>
          <w:left w:val="nil"/>
          <w:bottom w:val="single" w:color="5B9BD5" w:sz="4" w:space="0"/>
          <w:right w:val="nil"/>
          <w:insideH w:val="nil"/>
          <w:insideV w:val="nil"/>
          <w:tl2br w:val="nil"/>
          <w:tr2bl w:val="nil"/>
        </w:tcBorders>
        <w:shd w:val="clear" w:color="FFFFFF" w:fill="FFFFFF"/>
      </w:tcPr>
    </w:tblStylePr>
    <w:tblStylePr w:type="lastRow">
      <w:rPr>
        <w:rFonts w:ascii="等线" w:hAnsi="等线"/>
        <w:i/>
        <w:color w:val="235A8C"/>
        <w:sz w:val="22"/>
      </w:rPr>
      <w:tcPr>
        <w:tcBorders>
          <w:top w:val="single" w:color="5B9BD5"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235A8C"/>
        <w:sz w:val="22"/>
      </w:rPr>
      <w:tcPr>
        <w:tcBorders>
          <w:top w:val="nil"/>
          <w:left w:val="nil"/>
          <w:bottom w:val="nil"/>
          <w:right w:val="single" w:color="5B9BD5" w:sz="4" w:space="0"/>
          <w:insideH w:val="nil"/>
          <w:insideV w:val="nil"/>
          <w:tl2br w:val="nil"/>
          <w:tr2bl w:val="nil"/>
        </w:tcBorders>
        <w:shd w:val="clear" w:color="FFFFFF" w:fill="auto"/>
      </w:tcPr>
    </w:tblStylePr>
    <w:tblStylePr w:type="lastCol">
      <w:rPr>
        <w:rFonts w:ascii="等线" w:hAnsi="等线"/>
        <w:i/>
        <w:color w:val="235A8C"/>
        <w:sz w:val="22"/>
      </w:rPr>
      <w:tcPr>
        <w:tcBorders>
          <w:top w:val="nil"/>
          <w:left w:val="single" w:color="5B9BD5" w:sz="4" w:space="0"/>
          <w:bottom w:val="nil"/>
          <w:right w:val="nil"/>
          <w:insideH w:val="nil"/>
          <w:insideV w:val="nil"/>
          <w:tl2br w:val="nil"/>
          <w:tr2bl w:val="nil"/>
        </w:tcBorders>
        <w:shd w:val="clear" w:color="FFFFFF" w:fill="auto"/>
      </w:tcPr>
    </w:tblStylePr>
    <w:tblStylePr w:type="band1Vert">
      <w:tcPr>
        <w:shd w:val="clear" w:color="D5E5F4" w:fill="D5E5F4"/>
      </w:tcPr>
    </w:tblStylePr>
    <w:tblStylePr w:type="band1Horz">
      <w:rPr>
        <w:rFonts w:ascii="等线" w:hAnsi="等线"/>
        <w:color w:val="235A8C"/>
        <w:sz w:val="22"/>
      </w:rPr>
      <w:tcPr>
        <w:shd w:val="clear" w:color="D5E5F4" w:fill="D5E5F4"/>
      </w:tcPr>
    </w:tblStylePr>
    <w:tblStylePr w:type="band2Horz">
      <w:rPr>
        <w:rFonts w:ascii="等线" w:hAnsi="等线"/>
        <w:color w:val="235A8C"/>
        <w:sz w:val="22"/>
      </w:rPr>
    </w:tblStylePr>
  </w:style>
  <w:style w:type="table" w:customStyle="1" w:styleId="247">
    <w:name w:val="List Table 7 Colorful - Accent 2"/>
    <w:basedOn w:val="53"/>
    <w:qFormat/>
    <w:uiPriority w:val="99"/>
    <w:tblPr>
      <w:tblBorders>
        <w:right w:val="single" w:color="F4B285" w:sz="4" w:space="0"/>
      </w:tblBorders>
    </w:tblPr>
    <w:tblStylePr w:type="firstRow">
      <w:rPr>
        <w:rFonts w:ascii="等线" w:hAnsi="等线"/>
        <w:i/>
        <w:color w:val="F4B285"/>
        <w:sz w:val="22"/>
      </w:rPr>
      <w:tcPr>
        <w:tcBorders>
          <w:top w:val="nil"/>
          <w:left w:val="nil"/>
          <w:bottom w:val="single" w:color="F4B285" w:sz="4" w:space="0"/>
          <w:right w:val="nil"/>
          <w:insideH w:val="nil"/>
          <w:insideV w:val="nil"/>
          <w:tl2br w:val="nil"/>
          <w:tr2bl w:val="nil"/>
        </w:tcBorders>
        <w:shd w:val="clear" w:color="FFFFFF" w:fill="FFFFFF"/>
      </w:tcPr>
    </w:tblStylePr>
    <w:tblStylePr w:type="lastRow">
      <w:rPr>
        <w:rFonts w:ascii="等线" w:hAnsi="等线"/>
        <w:i/>
        <w:color w:val="F4B285"/>
        <w:sz w:val="22"/>
      </w:rPr>
      <w:tcPr>
        <w:tcBorders>
          <w:top w:val="single" w:color="F4B285"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F4B285"/>
        <w:sz w:val="22"/>
      </w:rPr>
      <w:tcPr>
        <w:tcBorders>
          <w:top w:val="nil"/>
          <w:left w:val="nil"/>
          <w:bottom w:val="nil"/>
          <w:right w:val="single" w:color="F4B285" w:sz="4" w:space="0"/>
          <w:insideH w:val="nil"/>
          <w:insideV w:val="nil"/>
          <w:tl2br w:val="nil"/>
          <w:tr2bl w:val="nil"/>
        </w:tcBorders>
        <w:shd w:val="clear" w:color="FFFFFF" w:fill="auto"/>
      </w:tcPr>
    </w:tblStylePr>
    <w:tblStylePr w:type="lastCol">
      <w:rPr>
        <w:rFonts w:ascii="等线" w:hAnsi="等线"/>
        <w:i/>
        <w:color w:val="F4B285"/>
        <w:sz w:val="22"/>
      </w:rPr>
      <w:tcPr>
        <w:tcBorders>
          <w:top w:val="nil"/>
          <w:left w:val="single" w:color="F4B285" w:sz="4" w:space="0"/>
          <w:bottom w:val="nil"/>
          <w:right w:val="nil"/>
          <w:insideH w:val="nil"/>
          <w:insideV w:val="nil"/>
          <w:tl2br w:val="nil"/>
          <w:tr2bl w:val="nil"/>
        </w:tcBorders>
        <w:shd w:val="clear" w:color="FFFFFF" w:fill="auto"/>
      </w:tcPr>
    </w:tblStylePr>
    <w:tblStylePr w:type="band1Vert">
      <w:tcPr>
        <w:shd w:val="clear" w:color="FADECB" w:fill="FADECB"/>
      </w:tcPr>
    </w:tblStylePr>
    <w:tblStylePr w:type="band1Horz">
      <w:rPr>
        <w:rFonts w:ascii="等线" w:hAnsi="等线"/>
        <w:color w:val="F4B285"/>
        <w:sz w:val="22"/>
      </w:rPr>
      <w:tcPr>
        <w:shd w:val="clear" w:color="FADECB" w:fill="FADECB"/>
      </w:tcPr>
    </w:tblStylePr>
    <w:tblStylePr w:type="band2Horz">
      <w:rPr>
        <w:rFonts w:ascii="等线" w:hAnsi="等线"/>
        <w:color w:val="F4B285"/>
        <w:sz w:val="22"/>
      </w:rPr>
    </w:tblStylePr>
  </w:style>
  <w:style w:type="table" w:customStyle="1" w:styleId="248">
    <w:name w:val="List Table 7 Colorful - Accent 3"/>
    <w:basedOn w:val="53"/>
    <w:qFormat/>
    <w:uiPriority w:val="99"/>
    <w:tblPr>
      <w:tblBorders>
        <w:right w:val="single" w:color="C9C9C9" w:sz="4" w:space="0"/>
      </w:tblBorders>
    </w:tblPr>
    <w:tblStylePr w:type="firstRow">
      <w:rPr>
        <w:rFonts w:ascii="等线" w:hAnsi="等线"/>
        <w:i/>
        <w:color w:val="C8C8C8"/>
        <w:sz w:val="22"/>
      </w:rPr>
      <w:tcPr>
        <w:tcBorders>
          <w:top w:val="nil"/>
          <w:left w:val="nil"/>
          <w:bottom w:val="single" w:color="C9C9C9" w:sz="4" w:space="0"/>
          <w:right w:val="nil"/>
          <w:insideH w:val="nil"/>
          <w:insideV w:val="nil"/>
          <w:tl2br w:val="nil"/>
          <w:tr2bl w:val="nil"/>
        </w:tcBorders>
        <w:shd w:val="clear" w:color="FFFFFF" w:fill="FFFFFF"/>
      </w:tcPr>
    </w:tblStylePr>
    <w:tblStylePr w:type="lastRow">
      <w:rPr>
        <w:rFonts w:ascii="等线" w:hAnsi="等线"/>
        <w:i/>
        <w:color w:val="C8C8C8"/>
        <w:sz w:val="22"/>
      </w:rPr>
      <w:tcPr>
        <w:tcBorders>
          <w:top w:val="single" w:color="C9C9C9"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C8C8C8"/>
        <w:sz w:val="22"/>
      </w:rPr>
      <w:tcPr>
        <w:tcBorders>
          <w:top w:val="nil"/>
          <w:left w:val="nil"/>
          <w:bottom w:val="nil"/>
          <w:right w:val="single" w:color="C9C9C9" w:sz="4" w:space="0"/>
          <w:insideH w:val="nil"/>
          <w:insideV w:val="nil"/>
          <w:tl2br w:val="nil"/>
          <w:tr2bl w:val="nil"/>
        </w:tcBorders>
        <w:shd w:val="clear" w:color="FFFFFF" w:fill="auto"/>
      </w:tcPr>
    </w:tblStylePr>
    <w:tblStylePr w:type="lastCol">
      <w:rPr>
        <w:rFonts w:ascii="等线" w:hAnsi="等线"/>
        <w:i/>
        <w:color w:val="C8C8C8"/>
        <w:sz w:val="22"/>
      </w:rPr>
      <w:tcPr>
        <w:tcBorders>
          <w:top w:val="nil"/>
          <w:left w:val="single" w:color="C9C9C9" w:sz="4" w:space="0"/>
          <w:bottom w:val="nil"/>
          <w:right w:val="nil"/>
          <w:insideH w:val="nil"/>
          <w:insideV w:val="nil"/>
          <w:tl2br w:val="nil"/>
          <w:tr2bl w:val="nil"/>
        </w:tcBorders>
        <w:shd w:val="clear" w:color="FFFFFF" w:fill="auto"/>
      </w:tcPr>
    </w:tblStylePr>
    <w:tblStylePr w:type="band1Vert">
      <w:tcPr>
        <w:shd w:val="clear" w:color="E8E8E8" w:fill="E8E8E8"/>
      </w:tcPr>
    </w:tblStylePr>
    <w:tblStylePr w:type="band1Horz">
      <w:rPr>
        <w:rFonts w:ascii="等线" w:hAnsi="等线"/>
        <w:color w:val="C8C8C8"/>
        <w:sz w:val="22"/>
      </w:rPr>
      <w:tcPr>
        <w:shd w:val="clear" w:color="E8E8E8" w:fill="E8E8E8"/>
      </w:tcPr>
    </w:tblStylePr>
    <w:tblStylePr w:type="band2Horz">
      <w:rPr>
        <w:rFonts w:ascii="等线" w:hAnsi="等线"/>
        <w:color w:val="C8C8C8"/>
        <w:sz w:val="22"/>
      </w:rPr>
    </w:tblStylePr>
  </w:style>
  <w:style w:type="table" w:customStyle="1" w:styleId="249">
    <w:name w:val="List Table 7 Colorful - Accent 4"/>
    <w:basedOn w:val="53"/>
    <w:qFormat/>
    <w:uiPriority w:val="99"/>
    <w:tblPr>
      <w:tblBorders>
        <w:right w:val="single" w:color="FFD864" w:sz="4" w:space="0"/>
      </w:tblBorders>
    </w:tblPr>
    <w:tblStylePr w:type="firstRow">
      <w:rPr>
        <w:rFonts w:ascii="等线" w:hAnsi="等线"/>
        <w:i/>
        <w:color w:val="FFD965"/>
        <w:sz w:val="22"/>
      </w:rPr>
      <w:tcPr>
        <w:tcBorders>
          <w:top w:val="nil"/>
          <w:left w:val="nil"/>
          <w:bottom w:val="single" w:color="FFD864" w:sz="4" w:space="0"/>
          <w:right w:val="nil"/>
          <w:insideH w:val="nil"/>
          <w:insideV w:val="nil"/>
          <w:tl2br w:val="nil"/>
          <w:tr2bl w:val="nil"/>
        </w:tcBorders>
        <w:shd w:val="clear" w:color="FFFFFF" w:fill="FFFFFF"/>
      </w:tcPr>
    </w:tblStylePr>
    <w:tblStylePr w:type="lastRow">
      <w:rPr>
        <w:rFonts w:ascii="等线" w:hAnsi="等线"/>
        <w:i/>
        <w:color w:val="FFD965"/>
        <w:sz w:val="22"/>
      </w:rPr>
      <w:tcPr>
        <w:tcBorders>
          <w:top w:val="single" w:color="FFD864"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FFD965"/>
        <w:sz w:val="22"/>
      </w:rPr>
      <w:tcPr>
        <w:tcBorders>
          <w:top w:val="nil"/>
          <w:left w:val="nil"/>
          <w:bottom w:val="nil"/>
          <w:right w:val="single" w:color="FFD864" w:sz="4" w:space="0"/>
          <w:insideH w:val="nil"/>
          <w:insideV w:val="nil"/>
          <w:tl2br w:val="nil"/>
          <w:tr2bl w:val="nil"/>
        </w:tcBorders>
        <w:shd w:val="clear" w:color="FFFFFF" w:fill="auto"/>
      </w:tcPr>
    </w:tblStylePr>
    <w:tblStylePr w:type="lastCol">
      <w:rPr>
        <w:rFonts w:ascii="等线" w:hAnsi="等线"/>
        <w:i/>
        <w:color w:val="FFD965"/>
        <w:sz w:val="22"/>
      </w:rPr>
      <w:tcPr>
        <w:tcBorders>
          <w:top w:val="nil"/>
          <w:left w:val="single" w:color="FFD864" w:sz="4" w:space="0"/>
          <w:bottom w:val="nil"/>
          <w:right w:val="nil"/>
          <w:insideH w:val="nil"/>
          <w:insideV w:val="nil"/>
          <w:tl2br w:val="nil"/>
          <w:tr2bl w:val="nil"/>
        </w:tcBorders>
        <w:shd w:val="clear" w:color="FFFFFF" w:fill="auto"/>
      </w:tcPr>
    </w:tblStylePr>
    <w:tblStylePr w:type="band1Vert">
      <w:tcPr>
        <w:shd w:val="clear" w:color="FFEFBE" w:fill="FFEFBE"/>
      </w:tcPr>
    </w:tblStylePr>
    <w:tblStylePr w:type="band1Horz">
      <w:rPr>
        <w:rFonts w:ascii="等线" w:hAnsi="等线"/>
        <w:color w:val="FFD965"/>
        <w:sz w:val="22"/>
      </w:rPr>
      <w:tcPr>
        <w:shd w:val="clear" w:color="FFEFBE" w:fill="FFEFBE"/>
      </w:tcPr>
    </w:tblStylePr>
    <w:tblStylePr w:type="band2Horz">
      <w:rPr>
        <w:rFonts w:ascii="等线" w:hAnsi="等线"/>
        <w:color w:val="FFD965"/>
        <w:sz w:val="22"/>
      </w:rPr>
    </w:tblStylePr>
  </w:style>
  <w:style w:type="table" w:customStyle="1" w:styleId="250">
    <w:name w:val="List Table 7 Colorful - Accent 5"/>
    <w:basedOn w:val="53"/>
    <w:qFormat/>
    <w:uiPriority w:val="99"/>
    <w:tblPr>
      <w:tblBorders>
        <w:right w:val="single" w:color="8EA9DB" w:sz="4" w:space="0"/>
      </w:tblBorders>
    </w:tblPr>
    <w:tblStylePr w:type="firstRow">
      <w:rPr>
        <w:rFonts w:ascii="等线" w:hAnsi="等线"/>
        <w:i/>
        <w:color w:val="8EAADB"/>
        <w:sz w:val="22"/>
      </w:rPr>
      <w:tcPr>
        <w:tcBorders>
          <w:top w:val="nil"/>
          <w:left w:val="nil"/>
          <w:bottom w:val="single" w:color="8EA9DB" w:sz="4" w:space="0"/>
          <w:right w:val="nil"/>
          <w:insideH w:val="nil"/>
          <w:insideV w:val="nil"/>
          <w:tl2br w:val="nil"/>
          <w:tr2bl w:val="nil"/>
        </w:tcBorders>
        <w:shd w:val="clear" w:color="FFFFFF" w:fill="FFFFFF"/>
      </w:tcPr>
    </w:tblStylePr>
    <w:tblStylePr w:type="lastRow">
      <w:rPr>
        <w:rFonts w:ascii="等线" w:hAnsi="等线"/>
        <w:i/>
        <w:color w:val="8EAADB"/>
        <w:sz w:val="22"/>
      </w:rPr>
      <w:tcPr>
        <w:tcBorders>
          <w:top w:val="single" w:color="8EA9DB"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8EAADB"/>
        <w:sz w:val="22"/>
      </w:rPr>
      <w:tcPr>
        <w:tcBorders>
          <w:top w:val="nil"/>
          <w:left w:val="nil"/>
          <w:bottom w:val="nil"/>
          <w:right w:val="single" w:color="8EA9DB" w:sz="4" w:space="0"/>
          <w:insideH w:val="nil"/>
          <w:insideV w:val="nil"/>
          <w:tl2br w:val="nil"/>
          <w:tr2bl w:val="nil"/>
        </w:tcBorders>
        <w:shd w:val="clear" w:color="FFFFFF" w:fill="auto"/>
      </w:tcPr>
    </w:tblStylePr>
    <w:tblStylePr w:type="lastCol">
      <w:rPr>
        <w:rFonts w:ascii="等线" w:hAnsi="等线"/>
        <w:i/>
        <w:color w:val="8EAADB"/>
        <w:sz w:val="22"/>
      </w:rPr>
      <w:tcPr>
        <w:tcBorders>
          <w:top w:val="nil"/>
          <w:left w:val="single" w:color="8EA9DB" w:sz="4" w:space="0"/>
          <w:bottom w:val="nil"/>
          <w:right w:val="nil"/>
          <w:insideH w:val="nil"/>
          <w:insideV w:val="nil"/>
          <w:tl2br w:val="nil"/>
          <w:tr2bl w:val="nil"/>
        </w:tcBorders>
        <w:shd w:val="clear" w:color="FFFFFF" w:fill="auto"/>
      </w:tcPr>
    </w:tblStylePr>
    <w:tblStylePr w:type="band1Vert">
      <w:tcPr>
        <w:shd w:val="clear" w:color="D0DBF0" w:fill="D0DBF0"/>
      </w:tcPr>
    </w:tblStylePr>
    <w:tblStylePr w:type="band1Horz">
      <w:rPr>
        <w:rFonts w:ascii="等线" w:hAnsi="等线"/>
        <w:color w:val="8EAADB"/>
        <w:sz w:val="22"/>
      </w:rPr>
      <w:tcPr>
        <w:shd w:val="clear" w:color="D0DBF0" w:fill="D0DBF0"/>
      </w:tcPr>
    </w:tblStylePr>
    <w:tblStylePr w:type="band2Horz">
      <w:rPr>
        <w:rFonts w:ascii="等线" w:hAnsi="等线"/>
        <w:color w:val="8EAADB"/>
        <w:sz w:val="22"/>
      </w:rPr>
    </w:tblStylePr>
  </w:style>
  <w:style w:type="table" w:customStyle="1" w:styleId="251">
    <w:name w:val="List Table 7 Colorful - Accent 6"/>
    <w:basedOn w:val="53"/>
    <w:qFormat/>
    <w:uiPriority w:val="99"/>
    <w:tblPr>
      <w:tblBorders>
        <w:right w:val="single" w:color="A9D08E" w:sz="4" w:space="0"/>
      </w:tblBorders>
    </w:tblPr>
    <w:tblStylePr w:type="firstRow">
      <w:rPr>
        <w:rFonts w:ascii="等线" w:hAnsi="等线"/>
        <w:i/>
        <w:color w:val="A8D08D"/>
        <w:sz w:val="22"/>
      </w:rPr>
      <w:tcPr>
        <w:tcBorders>
          <w:top w:val="nil"/>
          <w:left w:val="nil"/>
          <w:bottom w:val="single" w:color="A9D08E" w:sz="4" w:space="0"/>
          <w:right w:val="nil"/>
          <w:insideH w:val="nil"/>
          <w:insideV w:val="nil"/>
          <w:tl2br w:val="nil"/>
          <w:tr2bl w:val="nil"/>
        </w:tcBorders>
        <w:shd w:val="clear" w:color="FFFFFF" w:fill="FFFFFF"/>
      </w:tcPr>
    </w:tblStylePr>
    <w:tblStylePr w:type="lastRow">
      <w:rPr>
        <w:rFonts w:ascii="等线" w:hAnsi="等线"/>
        <w:i/>
        <w:color w:val="A8D08D"/>
        <w:sz w:val="22"/>
      </w:rPr>
      <w:tcPr>
        <w:tcBorders>
          <w:top w:val="single" w:color="A9D08E" w:sz="4" w:space="0"/>
          <w:left w:val="nil"/>
          <w:bottom w:val="nil"/>
          <w:right w:val="nil"/>
          <w:insideH w:val="nil"/>
          <w:insideV w:val="nil"/>
          <w:tl2br w:val="nil"/>
          <w:tr2bl w:val="nil"/>
        </w:tcBorders>
        <w:shd w:val="clear" w:color="FFFFFF" w:fill="FFFFFF"/>
      </w:tcPr>
    </w:tblStylePr>
    <w:tblStylePr w:type="firstCol">
      <w:pPr>
        <w:jc w:val="right"/>
      </w:pPr>
      <w:rPr>
        <w:rFonts w:ascii="等线" w:hAnsi="等线"/>
        <w:i/>
        <w:color w:val="A8D08D"/>
        <w:sz w:val="22"/>
      </w:rPr>
      <w:tcPr>
        <w:tcBorders>
          <w:top w:val="nil"/>
          <w:left w:val="nil"/>
          <w:bottom w:val="nil"/>
          <w:right w:val="single" w:color="A9D08E" w:sz="4" w:space="0"/>
          <w:insideH w:val="nil"/>
          <w:insideV w:val="nil"/>
          <w:tl2br w:val="nil"/>
          <w:tr2bl w:val="nil"/>
        </w:tcBorders>
        <w:shd w:val="clear" w:color="FFFFFF" w:fill="auto"/>
      </w:tcPr>
    </w:tblStylePr>
    <w:tblStylePr w:type="lastCol">
      <w:rPr>
        <w:rFonts w:ascii="等线" w:hAnsi="等线"/>
        <w:i/>
        <w:color w:val="A8D08D"/>
        <w:sz w:val="22"/>
      </w:rPr>
      <w:tcPr>
        <w:tcBorders>
          <w:top w:val="nil"/>
          <w:left w:val="single" w:color="A9D08E" w:sz="4" w:space="0"/>
          <w:bottom w:val="nil"/>
          <w:right w:val="nil"/>
          <w:insideH w:val="nil"/>
          <w:insideV w:val="nil"/>
          <w:tl2br w:val="nil"/>
          <w:tr2bl w:val="nil"/>
        </w:tcBorders>
        <w:shd w:val="clear" w:color="FFFFFF" w:fill="auto"/>
      </w:tcPr>
    </w:tblStylePr>
    <w:tblStylePr w:type="band1Vert">
      <w:tcPr>
        <w:shd w:val="clear" w:color="DAEBCF" w:fill="DAEBCF"/>
      </w:tcPr>
    </w:tblStylePr>
    <w:tblStylePr w:type="band1Horz">
      <w:rPr>
        <w:rFonts w:ascii="等线" w:hAnsi="等线"/>
        <w:color w:val="A8D08D"/>
        <w:sz w:val="22"/>
      </w:rPr>
      <w:tcPr>
        <w:shd w:val="clear" w:color="DAEBCF" w:fill="DAEBCF"/>
      </w:tcPr>
    </w:tblStylePr>
    <w:tblStylePr w:type="band2Horz">
      <w:rPr>
        <w:rFonts w:ascii="等线" w:hAnsi="等线"/>
        <w:color w:val="A8D08D"/>
        <w:sz w:val="22"/>
      </w:rPr>
    </w:tblStylePr>
  </w:style>
  <w:style w:type="table" w:customStyle="1" w:styleId="252">
    <w:name w:val="Lined - Accent"/>
    <w:basedOn w:val="53"/>
    <w:qFormat/>
    <w:uiPriority w:val="99"/>
    <w:rPr>
      <w:color w:val="404040"/>
    </w:rPr>
    <w:tblStylePr w:type="firstRow">
      <w:rPr>
        <w:rFonts w:ascii="等线" w:hAnsi="等线"/>
        <w:color w:val="F2F2F2"/>
        <w:sz w:val="22"/>
      </w:rPr>
      <w:tcPr>
        <w:shd w:val="clear" w:color="7E7E7E" w:fill="7E7E7E"/>
      </w:tcPr>
    </w:tblStylePr>
    <w:tblStylePr w:type="lastRow">
      <w:rPr>
        <w:rFonts w:ascii="等线" w:hAnsi="等线"/>
        <w:color w:val="F2F2F2"/>
        <w:sz w:val="22"/>
      </w:rPr>
      <w:tcPr>
        <w:shd w:val="clear" w:color="7E7E7E" w:fill="7E7E7E"/>
      </w:tcPr>
    </w:tblStylePr>
    <w:tblStylePr w:type="firstCol">
      <w:rPr>
        <w:rFonts w:ascii="等线" w:hAnsi="等线"/>
        <w:color w:val="F2F2F2"/>
        <w:sz w:val="22"/>
      </w:rPr>
      <w:tcPr>
        <w:shd w:val="clear" w:color="7E7E7E" w:fill="7E7E7E"/>
      </w:tcPr>
    </w:tblStylePr>
    <w:tblStylePr w:type="lastCol">
      <w:rPr>
        <w:rFonts w:ascii="等线" w:hAnsi="等线"/>
        <w:color w:val="F2F2F2"/>
        <w:sz w:val="22"/>
      </w:rPr>
      <w:tcPr>
        <w:shd w:val="clear" w:color="7E7E7E" w:fill="7E7E7E"/>
      </w:tcPr>
    </w:tblStylePr>
    <w:tblStylePr w:type="band1Vert">
      <w:rPr>
        <w:rFonts w:ascii="等线" w:hAnsi="等线"/>
        <w:color w:val="404040"/>
        <w:sz w:val="22"/>
      </w:rPr>
    </w:tblStylePr>
    <w:tblStylePr w:type="band2Vert">
      <w:rPr>
        <w:rFonts w:ascii="等线" w:hAnsi="等线"/>
        <w:color w:val="404040"/>
        <w:sz w:val="22"/>
      </w:rPr>
      <w:tcPr>
        <w:shd w:val="clear" w:color="F1F1F1" w:fill="F1F1F1"/>
      </w:tcPr>
    </w:tblStylePr>
    <w:tblStylePr w:type="band1Horz">
      <w:rPr>
        <w:rFonts w:ascii="等线" w:hAnsi="等线"/>
        <w:color w:val="404040"/>
        <w:sz w:val="22"/>
      </w:rPr>
    </w:tblStylePr>
    <w:tblStylePr w:type="band2Horz">
      <w:rPr>
        <w:rFonts w:ascii="等线" w:hAnsi="等线"/>
        <w:color w:val="404040"/>
        <w:sz w:val="22"/>
      </w:rPr>
      <w:tcPr>
        <w:shd w:val="clear" w:color="F1F1F1" w:fill="F1F1F1"/>
      </w:tcPr>
    </w:tblStylePr>
  </w:style>
  <w:style w:type="table" w:customStyle="1" w:styleId="253">
    <w:name w:val="Lined - Accent 1"/>
    <w:basedOn w:val="53"/>
    <w:qFormat/>
    <w:uiPriority w:val="99"/>
    <w:rPr>
      <w:color w:val="404040"/>
    </w:rPr>
    <w:tblStylePr w:type="firstRow">
      <w:rPr>
        <w:rFonts w:ascii="等线" w:hAnsi="等线"/>
        <w:color w:val="F2F2F2"/>
        <w:sz w:val="22"/>
      </w:rPr>
      <w:tcPr>
        <w:shd w:val="clear" w:color="68A3D8" w:fill="68A3D8"/>
      </w:tcPr>
    </w:tblStylePr>
    <w:tblStylePr w:type="lastRow">
      <w:rPr>
        <w:rFonts w:ascii="等线" w:hAnsi="等线"/>
        <w:color w:val="F2F2F2"/>
        <w:sz w:val="22"/>
      </w:rPr>
      <w:tcPr>
        <w:shd w:val="clear" w:color="68A3D8" w:fill="68A3D8"/>
      </w:tcPr>
    </w:tblStylePr>
    <w:tblStylePr w:type="firstCol">
      <w:rPr>
        <w:rFonts w:ascii="等线" w:hAnsi="等线"/>
        <w:color w:val="F2F2F2"/>
        <w:sz w:val="22"/>
      </w:rPr>
      <w:tcPr>
        <w:shd w:val="clear" w:color="68A3D8" w:fill="68A3D8"/>
      </w:tcPr>
    </w:tblStylePr>
    <w:tblStylePr w:type="lastCol">
      <w:rPr>
        <w:rFonts w:ascii="等线" w:hAnsi="等线"/>
        <w:color w:val="F2F2F2"/>
        <w:sz w:val="22"/>
      </w:rPr>
      <w:tcPr>
        <w:shd w:val="clear" w:color="68A3D8" w:fill="68A3D8"/>
      </w:tcPr>
    </w:tblStylePr>
    <w:tblStylePr w:type="band1Vert">
      <w:rPr>
        <w:rFonts w:ascii="等线" w:hAnsi="等线"/>
        <w:color w:val="404040"/>
        <w:sz w:val="22"/>
      </w:rPr>
    </w:tblStylePr>
    <w:tblStylePr w:type="band2Vert">
      <w:rPr>
        <w:rFonts w:ascii="等线" w:hAnsi="等线"/>
        <w:color w:val="404040"/>
        <w:sz w:val="22"/>
      </w:rPr>
      <w:tcPr>
        <w:shd w:val="clear" w:color="CBDFF1" w:fill="CBDFF1"/>
      </w:tcPr>
    </w:tblStylePr>
    <w:tblStylePr w:type="band1Horz">
      <w:rPr>
        <w:rFonts w:ascii="等线" w:hAnsi="等线"/>
        <w:color w:val="404040"/>
        <w:sz w:val="22"/>
      </w:rPr>
    </w:tblStylePr>
    <w:tblStylePr w:type="band2Horz">
      <w:rPr>
        <w:rFonts w:ascii="等线" w:hAnsi="等线"/>
        <w:color w:val="404040"/>
        <w:sz w:val="22"/>
      </w:rPr>
      <w:tcPr>
        <w:shd w:val="clear" w:color="CBDFF1" w:fill="CBDFF1"/>
      </w:tcPr>
    </w:tblStylePr>
  </w:style>
  <w:style w:type="table" w:customStyle="1" w:styleId="254">
    <w:name w:val="Lined - Accent 2"/>
    <w:basedOn w:val="53"/>
    <w:qFormat/>
    <w:uiPriority w:val="99"/>
    <w:rPr>
      <w:color w:val="404040"/>
    </w:rPr>
    <w:tblStylePr w:type="firstRow">
      <w:rPr>
        <w:rFonts w:ascii="等线" w:hAnsi="等线"/>
        <w:color w:val="F2F2F2"/>
        <w:sz w:val="22"/>
      </w:rPr>
      <w:tcPr>
        <w:shd w:val="clear" w:color="F4B285" w:fill="F4B285"/>
      </w:tcPr>
    </w:tblStylePr>
    <w:tblStylePr w:type="lastRow">
      <w:rPr>
        <w:rFonts w:ascii="等线" w:hAnsi="等线"/>
        <w:color w:val="F2F2F2"/>
        <w:sz w:val="22"/>
      </w:rPr>
      <w:tcPr>
        <w:shd w:val="clear" w:color="F4B285" w:fill="F4B285"/>
      </w:tcPr>
    </w:tblStylePr>
    <w:tblStylePr w:type="firstCol">
      <w:rPr>
        <w:rFonts w:ascii="等线" w:hAnsi="等线"/>
        <w:color w:val="F2F2F2"/>
        <w:sz w:val="22"/>
      </w:rPr>
      <w:tcPr>
        <w:shd w:val="clear" w:color="F4B285" w:fill="F4B285"/>
      </w:tcPr>
    </w:tblStylePr>
    <w:tblStylePr w:type="lastCol">
      <w:rPr>
        <w:rFonts w:ascii="等线" w:hAnsi="等线"/>
        <w:color w:val="F2F2F2"/>
        <w:sz w:val="22"/>
      </w:rPr>
      <w:tcPr>
        <w:shd w:val="clear" w:color="F4B285" w:fill="F4B285"/>
      </w:tcPr>
    </w:tblStylePr>
    <w:tblStylePr w:type="band1Vert">
      <w:rPr>
        <w:rFonts w:ascii="等线" w:hAnsi="等线"/>
        <w:color w:val="404040"/>
        <w:sz w:val="22"/>
      </w:rPr>
    </w:tblStylePr>
    <w:tblStylePr w:type="band2Vert">
      <w:rPr>
        <w:rFonts w:ascii="等线" w:hAnsi="等线"/>
        <w:color w:val="404040"/>
        <w:sz w:val="22"/>
      </w:rPr>
      <w:tcPr>
        <w:shd w:val="clear" w:color="FBE5D6" w:fill="FBE5D6"/>
      </w:tcPr>
    </w:tblStylePr>
    <w:tblStylePr w:type="band1Horz">
      <w:rPr>
        <w:rFonts w:ascii="等线" w:hAnsi="等线"/>
        <w:color w:val="404040"/>
        <w:sz w:val="22"/>
      </w:rPr>
    </w:tblStylePr>
    <w:tblStylePr w:type="band2Horz">
      <w:rPr>
        <w:rFonts w:ascii="等线" w:hAnsi="等线"/>
        <w:color w:val="404040"/>
        <w:sz w:val="22"/>
      </w:rPr>
      <w:tcPr>
        <w:shd w:val="clear" w:color="FBE5D6" w:fill="FBE5D6"/>
      </w:tcPr>
    </w:tblStylePr>
  </w:style>
  <w:style w:type="table" w:customStyle="1" w:styleId="255">
    <w:name w:val="Lined - Accent 3"/>
    <w:basedOn w:val="53"/>
    <w:qFormat/>
    <w:uiPriority w:val="99"/>
    <w:rPr>
      <w:color w:val="404040"/>
    </w:rPr>
    <w:tblStylePr w:type="firstRow">
      <w:rPr>
        <w:rFonts w:ascii="等线" w:hAnsi="等线"/>
        <w:color w:val="F2F2F2"/>
        <w:sz w:val="22"/>
      </w:rPr>
      <w:tcPr>
        <w:shd w:val="clear" w:color="A5A5A5" w:fill="A5A5A5"/>
      </w:tcPr>
    </w:tblStylePr>
    <w:tblStylePr w:type="lastRow">
      <w:rPr>
        <w:rFonts w:ascii="等线" w:hAnsi="等线"/>
        <w:color w:val="F2F2F2"/>
        <w:sz w:val="22"/>
      </w:rPr>
      <w:tcPr>
        <w:shd w:val="clear" w:color="A5A5A5" w:fill="A5A5A5"/>
      </w:tcPr>
    </w:tblStylePr>
    <w:tblStylePr w:type="firstCol">
      <w:rPr>
        <w:rFonts w:ascii="等线" w:hAnsi="等线"/>
        <w:color w:val="F2F2F2"/>
        <w:sz w:val="22"/>
      </w:rPr>
      <w:tcPr>
        <w:shd w:val="clear" w:color="A5A5A5" w:fill="A5A5A5"/>
      </w:tcPr>
    </w:tblStylePr>
    <w:tblStylePr w:type="lastCol">
      <w:rPr>
        <w:rFonts w:ascii="等线" w:hAnsi="等线"/>
        <w:color w:val="F2F2F2"/>
        <w:sz w:val="22"/>
      </w:rPr>
      <w:tcPr>
        <w:shd w:val="clear" w:color="A5A5A5" w:fill="A5A5A5"/>
      </w:tcPr>
    </w:tblStylePr>
    <w:tblStylePr w:type="band1Vert">
      <w:rPr>
        <w:rFonts w:ascii="等线" w:hAnsi="等线"/>
        <w:color w:val="404040"/>
        <w:sz w:val="22"/>
      </w:rPr>
    </w:tblStylePr>
    <w:tblStylePr w:type="band2Vert">
      <w:rPr>
        <w:rFonts w:ascii="等线" w:hAnsi="等线"/>
        <w:color w:val="404040"/>
        <w:sz w:val="22"/>
      </w:rPr>
      <w:tcPr>
        <w:shd w:val="clear" w:color="ECECEC" w:fill="ECECEC"/>
      </w:tcPr>
    </w:tblStylePr>
    <w:tblStylePr w:type="band1Horz">
      <w:rPr>
        <w:rFonts w:ascii="等线" w:hAnsi="等线"/>
        <w:color w:val="404040"/>
        <w:sz w:val="22"/>
      </w:rPr>
    </w:tblStylePr>
    <w:tblStylePr w:type="band2Horz">
      <w:rPr>
        <w:rFonts w:ascii="等线" w:hAnsi="等线"/>
        <w:color w:val="404040"/>
        <w:sz w:val="22"/>
      </w:rPr>
      <w:tcPr>
        <w:shd w:val="clear" w:color="ECECEC" w:fill="ECECEC"/>
      </w:tcPr>
    </w:tblStylePr>
  </w:style>
  <w:style w:type="table" w:customStyle="1" w:styleId="256">
    <w:name w:val="Lined - Accent 4"/>
    <w:basedOn w:val="53"/>
    <w:qFormat/>
    <w:uiPriority w:val="99"/>
    <w:rPr>
      <w:color w:val="404040"/>
    </w:rPr>
    <w:tblStylePr w:type="firstRow">
      <w:rPr>
        <w:rFonts w:ascii="等线" w:hAnsi="等线"/>
        <w:color w:val="F2F2F2"/>
        <w:sz w:val="22"/>
      </w:rPr>
      <w:tcPr>
        <w:shd w:val="clear" w:color="FFD864" w:fill="FFD864"/>
      </w:tcPr>
    </w:tblStylePr>
    <w:tblStylePr w:type="lastRow">
      <w:rPr>
        <w:rFonts w:ascii="等线" w:hAnsi="等线"/>
        <w:color w:val="F2F2F2"/>
        <w:sz w:val="22"/>
      </w:rPr>
      <w:tcPr>
        <w:shd w:val="clear" w:color="FFD864" w:fill="FFD864"/>
      </w:tcPr>
    </w:tblStylePr>
    <w:tblStylePr w:type="firstCol">
      <w:rPr>
        <w:rFonts w:ascii="等线" w:hAnsi="等线"/>
        <w:color w:val="F2F2F2"/>
        <w:sz w:val="22"/>
      </w:rPr>
      <w:tcPr>
        <w:shd w:val="clear" w:color="FFD864" w:fill="FFD864"/>
      </w:tcPr>
    </w:tblStylePr>
    <w:tblStylePr w:type="lastCol">
      <w:rPr>
        <w:rFonts w:ascii="等线" w:hAnsi="等线"/>
        <w:color w:val="F2F2F2"/>
        <w:sz w:val="22"/>
      </w:rPr>
      <w:tcPr>
        <w:shd w:val="clear" w:color="FFD864" w:fill="FFD864"/>
      </w:tcPr>
    </w:tblStylePr>
    <w:tblStylePr w:type="band1Vert">
      <w:rPr>
        <w:rFonts w:ascii="等线" w:hAnsi="等线"/>
        <w:color w:val="404040"/>
        <w:sz w:val="22"/>
      </w:rPr>
    </w:tblStylePr>
    <w:tblStylePr w:type="band2Vert">
      <w:rPr>
        <w:rFonts w:ascii="等线" w:hAnsi="等线"/>
        <w:color w:val="404040"/>
        <w:sz w:val="22"/>
      </w:rPr>
      <w:tcPr>
        <w:shd w:val="clear" w:color="FEF2CA" w:fill="FEF2CA"/>
      </w:tcPr>
    </w:tblStylePr>
    <w:tblStylePr w:type="band1Horz">
      <w:rPr>
        <w:rFonts w:ascii="等线" w:hAnsi="等线"/>
        <w:color w:val="404040"/>
        <w:sz w:val="22"/>
      </w:rPr>
    </w:tblStylePr>
    <w:tblStylePr w:type="band2Horz">
      <w:rPr>
        <w:rFonts w:ascii="等线" w:hAnsi="等线"/>
        <w:color w:val="404040"/>
        <w:sz w:val="22"/>
      </w:rPr>
      <w:tcPr>
        <w:shd w:val="clear" w:color="FEF2CA" w:fill="FEF2CA"/>
      </w:tcPr>
    </w:tblStylePr>
  </w:style>
  <w:style w:type="table" w:customStyle="1" w:styleId="257">
    <w:name w:val="Lined - Accent 5"/>
    <w:basedOn w:val="53"/>
    <w:qFormat/>
    <w:uiPriority w:val="99"/>
    <w:rPr>
      <w:color w:val="404040"/>
    </w:rPr>
    <w:tblStylePr w:type="firstRow">
      <w:rPr>
        <w:rFonts w:ascii="等线" w:hAnsi="等线"/>
        <w:color w:val="F2F2F2"/>
        <w:sz w:val="22"/>
      </w:rPr>
      <w:tcPr>
        <w:shd w:val="clear" w:color="4472C4" w:fill="4472C4"/>
      </w:tcPr>
    </w:tblStylePr>
    <w:tblStylePr w:type="lastRow">
      <w:rPr>
        <w:rFonts w:ascii="等线" w:hAnsi="等线"/>
        <w:color w:val="F2F2F2"/>
        <w:sz w:val="22"/>
      </w:rPr>
      <w:tcPr>
        <w:shd w:val="clear" w:color="4472C4" w:fill="4472C4"/>
      </w:tcPr>
    </w:tblStylePr>
    <w:tblStylePr w:type="firstCol">
      <w:rPr>
        <w:rFonts w:ascii="等线" w:hAnsi="等线"/>
        <w:color w:val="F2F2F2"/>
        <w:sz w:val="22"/>
      </w:rPr>
      <w:tcPr>
        <w:shd w:val="clear" w:color="4472C4" w:fill="4472C4"/>
      </w:tcPr>
    </w:tblStylePr>
    <w:tblStylePr w:type="lastCol">
      <w:rPr>
        <w:rFonts w:ascii="等线" w:hAnsi="等线"/>
        <w:color w:val="F2F2F2"/>
        <w:sz w:val="22"/>
      </w:rPr>
      <w:tcPr>
        <w:shd w:val="clear" w:color="4472C4" w:fill="4472C4"/>
      </w:tcPr>
    </w:tblStylePr>
    <w:tblStylePr w:type="band1Vert">
      <w:rPr>
        <w:rFonts w:ascii="等线" w:hAnsi="等线"/>
        <w:color w:val="404040"/>
        <w:sz w:val="22"/>
      </w:rPr>
    </w:tblStylePr>
    <w:tblStylePr w:type="band2Vert">
      <w:rPr>
        <w:rFonts w:ascii="等线" w:hAnsi="等线"/>
        <w:color w:val="404040"/>
        <w:sz w:val="22"/>
      </w:rPr>
      <w:tcPr>
        <w:shd w:val="clear" w:color="D8E2F2" w:fill="D8E2F2"/>
      </w:tcPr>
    </w:tblStylePr>
    <w:tblStylePr w:type="band1Horz">
      <w:rPr>
        <w:rFonts w:ascii="等线" w:hAnsi="等线"/>
        <w:color w:val="404040"/>
        <w:sz w:val="22"/>
      </w:rPr>
    </w:tblStylePr>
    <w:tblStylePr w:type="band2Horz">
      <w:rPr>
        <w:rFonts w:ascii="等线" w:hAnsi="等线"/>
        <w:color w:val="404040"/>
        <w:sz w:val="22"/>
      </w:rPr>
      <w:tcPr>
        <w:shd w:val="clear" w:color="D8E2F2" w:fill="D8E2F2"/>
      </w:tcPr>
    </w:tblStylePr>
  </w:style>
  <w:style w:type="table" w:customStyle="1" w:styleId="258">
    <w:name w:val="Lined - Accent 6"/>
    <w:basedOn w:val="53"/>
    <w:qFormat/>
    <w:uiPriority w:val="99"/>
    <w:rPr>
      <w:color w:val="404040"/>
    </w:rPr>
    <w:tblStylePr w:type="firstRow">
      <w:rPr>
        <w:rFonts w:ascii="等线" w:hAnsi="等线"/>
        <w:color w:val="F2F2F2"/>
        <w:sz w:val="22"/>
      </w:rPr>
      <w:tcPr>
        <w:shd w:val="clear" w:color="70AD47" w:fill="70AD47"/>
      </w:tcPr>
    </w:tblStylePr>
    <w:tblStylePr w:type="lastRow">
      <w:rPr>
        <w:rFonts w:ascii="等线" w:hAnsi="等线"/>
        <w:color w:val="F2F2F2"/>
        <w:sz w:val="22"/>
      </w:rPr>
      <w:tcPr>
        <w:shd w:val="clear" w:color="70AD47" w:fill="70AD47"/>
      </w:tcPr>
    </w:tblStylePr>
    <w:tblStylePr w:type="firstCol">
      <w:rPr>
        <w:rFonts w:ascii="等线" w:hAnsi="等线"/>
        <w:color w:val="F2F2F2"/>
        <w:sz w:val="22"/>
      </w:rPr>
      <w:tcPr>
        <w:shd w:val="clear" w:color="70AD47" w:fill="70AD47"/>
      </w:tcPr>
    </w:tblStylePr>
    <w:tblStylePr w:type="lastCol">
      <w:rPr>
        <w:rFonts w:ascii="等线" w:hAnsi="等线"/>
        <w:color w:val="F2F2F2"/>
        <w:sz w:val="22"/>
      </w:rPr>
      <w:tcPr>
        <w:shd w:val="clear" w:color="70AD47" w:fill="70AD47"/>
      </w:tcPr>
    </w:tblStylePr>
    <w:tblStylePr w:type="band1Vert">
      <w:rPr>
        <w:rFonts w:ascii="等线" w:hAnsi="等线"/>
        <w:color w:val="404040"/>
        <w:sz w:val="22"/>
      </w:rPr>
    </w:tblStylePr>
    <w:tblStylePr w:type="band2Vert">
      <w:rPr>
        <w:rFonts w:ascii="等线" w:hAnsi="等线"/>
        <w:color w:val="404040"/>
        <w:sz w:val="22"/>
      </w:rPr>
      <w:tcPr>
        <w:shd w:val="clear" w:color="E1EFD8" w:fill="E1EFD8"/>
      </w:tcPr>
    </w:tblStylePr>
    <w:tblStylePr w:type="band1Horz">
      <w:rPr>
        <w:rFonts w:ascii="等线" w:hAnsi="等线"/>
        <w:color w:val="404040"/>
        <w:sz w:val="22"/>
      </w:rPr>
    </w:tblStylePr>
    <w:tblStylePr w:type="band2Horz">
      <w:rPr>
        <w:rFonts w:ascii="等线" w:hAnsi="等线"/>
        <w:color w:val="404040"/>
        <w:sz w:val="22"/>
      </w:rPr>
      <w:tcPr>
        <w:shd w:val="clear" w:color="E1EFD8" w:fill="E1EFD8"/>
      </w:tcPr>
    </w:tblStylePr>
  </w:style>
  <w:style w:type="table" w:customStyle="1" w:styleId="259">
    <w:name w:val="Bordered &amp; Lined - Accent"/>
    <w:basedOn w:val="53"/>
    <w:qFormat/>
    <w:uiPriority w:val="99"/>
    <w:rPr>
      <w:color w:val="404040"/>
    </w:rPr>
    <w:tblPr>
      <w:tblBorders>
        <w:top w:val="single" w:color="585858" w:sz="4" w:space="0"/>
        <w:left w:val="single" w:color="585858" w:sz="4" w:space="0"/>
        <w:bottom w:val="single" w:color="585858" w:sz="4" w:space="0"/>
        <w:right w:val="single" w:color="585858" w:sz="4" w:space="0"/>
        <w:insideH w:val="single" w:color="585858" w:sz="4" w:space="0"/>
        <w:insideV w:val="single" w:color="585858" w:sz="4" w:space="0"/>
      </w:tblBorders>
    </w:tblPr>
    <w:tblStylePr w:type="firstRow">
      <w:rPr>
        <w:rFonts w:ascii="等线" w:hAnsi="等线"/>
        <w:color w:val="F2F2F2"/>
        <w:sz w:val="22"/>
      </w:rPr>
      <w:tcPr>
        <w:shd w:val="clear" w:color="7E7E7E" w:fill="7E7E7E"/>
      </w:tcPr>
    </w:tblStylePr>
    <w:tblStylePr w:type="lastRow">
      <w:rPr>
        <w:rFonts w:ascii="等线" w:hAnsi="等线"/>
        <w:color w:val="F2F2F2"/>
        <w:sz w:val="22"/>
      </w:rPr>
      <w:tcPr>
        <w:shd w:val="clear" w:color="7E7E7E" w:fill="7E7E7E"/>
      </w:tcPr>
    </w:tblStylePr>
    <w:tblStylePr w:type="firstCol">
      <w:rPr>
        <w:rFonts w:ascii="等线" w:hAnsi="等线"/>
        <w:color w:val="F2F2F2"/>
        <w:sz w:val="22"/>
      </w:rPr>
      <w:tcPr>
        <w:shd w:val="clear" w:color="7E7E7E" w:fill="7E7E7E"/>
      </w:tcPr>
    </w:tblStylePr>
    <w:tblStylePr w:type="lastCol">
      <w:rPr>
        <w:rFonts w:ascii="等线" w:hAnsi="等线"/>
        <w:color w:val="F2F2F2"/>
        <w:sz w:val="22"/>
      </w:rPr>
      <w:tcPr>
        <w:shd w:val="clear" w:color="7E7E7E" w:fill="7E7E7E"/>
      </w:tcPr>
    </w:tblStylePr>
    <w:tblStylePr w:type="band1Vert">
      <w:rPr>
        <w:rFonts w:ascii="等线" w:hAnsi="等线"/>
        <w:color w:val="404040"/>
        <w:sz w:val="22"/>
      </w:rPr>
    </w:tblStylePr>
    <w:tblStylePr w:type="band2Vert">
      <w:rPr>
        <w:rFonts w:ascii="等线" w:hAnsi="等线"/>
        <w:color w:val="404040"/>
        <w:sz w:val="22"/>
      </w:rPr>
      <w:tcPr>
        <w:shd w:val="clear" w:color="F1F1F1" w:fill="F1F1F1"/>
      </w:tcPr>
    </w:tblStylePr>
    <w:tblStylePr w:type="band1Horz">
      <w:rPr>
        <w:rFonts w:ascii="等线" w:hAnsi="等线"/>
        <w:color w:val="404040"/>
        <w:sz w:val="22"/>
      </w:rPr>
    </w:tblStylePr>
    <w:tblStylePr w:type="band2Horz">
      <w:rPr>
        <w:rFonts w:ascii="等线" w:hAnsi="等线"/>
        <w:color w:val="404040"/>
        <w:sz w:val="22"/>
      </w:rPr>
      <w:tcPr>
        <w:shd w:val="clear" w:color="F1F1F1" w:fill="F1F1F1"/>
      </w:tcPr>
    </w:tblStylePr>
  </w:style>
  <w:style w:type="table" w:customStyle="1" w:styleId="260">
    <w:name w:val="Bordered &amp; Lined - Accent 1"/>
    <w:basedOn w:val="53"/>
    <w:qFormat/>
    <w:uiPriority w:val="99"/>
    <w:rPr>
      <w:color w:val="404040"/>
    </w:rPr>
    <w:tblPr>
      <w:tblBorders>
        <w:top w:val="single" w:color="245B8D" w:sz="4" w:space="0"/>
        <w:left w:val="single" w:color="245B8D" w:sz="4" w:space="0"/>
        <w:bottom w:val="single" w:color="245B8D" w:sz="4" w:space="0"/>
        <w:right w:val="single" w:color="245B8D" w:sz="4" w:space="0"/>
        <w:insideH w:val="single" w:color="245B8D" w:sz="4" w:space="0"/>
        <w:insideV w:val="single" w:color="245B8D" w:sz="4" w:space="0"/>
      </w:tblBorders>
    </w:tblPr>
    <w:tblStylePr w:type="firstRow">
      <w:rPr>
        <w:rFonts w:ascii="等线" w:hAnsi="等线"/>
        <w:color w:val="F2F2F2"/>
        <w:sz w:val="22"/>
      </w:rPr>
      <w:tcPr>
        <w:shd w:val="clear" w:color="68A3D8" w:fill="68A3D8"/>
      </w:tcPr>
    </w:tblStylePr>
    <w:tblStylePr w:type="lastRow">
      <w:rPr>
        <w:rFonts w:ascii="等线" w:hAnsi="等线"/>
        <w:color w:val="F2F2F2"/>
        <w:sz w:val="22"/>
      </w:rPr>
      <w:tcPr>
        <w:shd w:val="clear" w:color="68A3D8" w:fill="68A3D8"/>
      </w:tcPr>
    </w:tblStylePr>
    <w:tblStylePr w:type="firstCol">
      <w:rPr>
        <w:rFonts w:ascii="等线" w:hAnsi="等线"/>
        <w:color w:val="F2F2F2"/>
        <w:sz w:val="22"/>
      </w:rPr>
      <w:tcPr>
        <w:shd w:val="clear" w:color="68A3D8" w:fill="68A3D8"/>
      </w:tcPr>
    </w:tblStylePr>
    <w:tblStylePr w:type="lastCol">
      <w:rPr>
        <w:rFonts w:ascii="等线" w:hAnsi="等线"/>
        <w:color w:val="F2F2F2"/>
        <w:sz w:val="22"/>
      </w:rPr>
      <w:tcPr>
        <w:shd w:val="clear" w:color="68A3D8" w:fill="68A3D8"/>
      </w:tcPr>
    </w:tblStylePr>
    <w:tblStylePr w:type="band1Vert">
      <w:rPr>
        <w:rFonts w:ascii="等线" w:hAnsi="等线"/>
        <w:color w:val="404040"/>
        <w:sz w:val="22"/>
      </w:rPr>
    </w:tblStylePr>
    <w:tblStylePr w:type="band2Vert">
      <w:rPr>
        <w:rFonts w:ascii="等线" w:hAnsi="等线"/>
        <w:color w:val="404040"/>
        <w:sz w:val="22"/>
      </w:rPr>
      <w:tcPr>
        <w:shd w:val="clear" w:color="CBDFF1" w:fill="CBDFF1"/>
      </w:tcPr>
    </w:tblStylePr>
    <w:tblStylePr w:type="band1Horz">
      <w:rPr>
        <w:rFonts w:ascii="等线" w:hAnsi="等线"/>
        <w:color w:val="404040"/>
        <w:sz w:val="22"/>
      </w:rPr>
    </w:tblStylePr>
    <w:tblStylePr w:type="band2Horz">
      <w:rPr>
        <w:rFonts w:ascii="等线" w:hAnsi="等线"/>
        <w:color w:val="404040"/>
        <w:sz w:val="22"/>
      </w:rPr>
      <w:tcPr>
        <w:shd w:val="clear" w:color="CBDFF1" w:fill="CBDFF1"/>
      </w:tcPr>
    </w:tblStylePr>
  </w:style>
  <w:style w:type="table" w:customStyle="1" w:styleId="261">
    <w:name w:val="Bordered &amp; Lined - Accent 2"/>
    <w:basedOn w:val="53"/>
    <w:qFormat/>
    <w:uiPriority w:val="99"/>
    <w:rPr>
      <w:color w:val="404040"/>
    </w:rPr>
    <w:tblPr>
      <w:tblBorders>
        <w:top w:val="single" w:color="99460D" w:sz="4" w:space="0"/>
        <w:left w:val="single" w:color="99460D" w:sz="4" w:space="0"/>
        <w:bottom w:val="single" w:color="99460D" w:sz="4" w:space="0"/>
        <w:right w:val="single" w:color="99460D" w:sz="4" w:space="0"/>
        <w:insideH w:val="single" w:color="99460D" w:sz="4" w:space="0"/>
        <w:insideV w:val="single" w:color="99460D" w:sz="4" w:space="0"/>
      </w:tblBorders>
    </w:tblPr>
    <w:tblStylePr w:type="firstRow">
      <w:rPr>
        <w:rFonts w:ascii="等线" w:hAnsi="等线"/>
        <w:color w:val="F2F2F2"/>
        <w:sz w:val="22"/>
      </w:rPr>
      <w:tcPr>
        <w:shd w:val="clear" w:color="F4B285" w:fill="F4B285"/>
      </w:tcPr>
    </w:tblStylePr>
    <w:tblStylePr w:type="lastRow">
      <w:rPr>
        <w:rFonts w:ascii="等线" w:hAnsi="等线"/>
        <w:color w:val="F2F2F2"/>
        <w:sz w:val="22"/>
      </w:rPr>
      <w:tcPr>
        <w:shd w:val="clear" w:color="F4B285" w:fill="F4B285"/>
      </w:tcPr>
    </w:tblStylePr>
    <w:tblStylePr w:type="firstCol">
      <w:rPr>
        <w:rFonts w:ascii="等线" w:hAnsi="等线"/>
        <w:color w:val="F2F2F2"/>
        <w:sz w:val="22"/>
      </w:rPr>
      <w:tcPr>
        <w:shd w:val="clear" w:color="F4B285" w:fill="F4B285"/>
      </w:tcPr>
    </w:tblStylePr>
    <w:tblStylePr w:type="lastCol">
      <w:rPr>
        <w:rFonts w:ascii="等线" w:hAnsi="等线"/>
        <w:color w:val="F2F2F2"/>
        <w:sz w:val="22"/>
      </w:rPr>
      <w:tcPr>
        <w:shd w:val="clear" w:color="F4B285" w:fill="F4B285"/>
      </w:tcPr>
    </w:tblStylePr>
    <w:tblStylePr w:type="band1Vert">
      <w:rPr>
        <w:rFonts w:ascii="等线" w:hAnsi="等线"/>
        <w:color w:val="404040"/>
        <w:sz w:val="22"/>
      </w:rPr>
    </w:tblStylePr>
    <w:tblStylePr w:type="band2Vert">
      <w:rPr>
        <w:rFonts w:ascii="等线" w:hAnsi="等线"/>
        <w:color w:val="404040"/>
        <w:sz w:val="22"/>
      </w:rPr>
      <w:tcPr>
        <w:shd w:val="clear" w:color="FBE5D6" w:fill="FBE5D6"/>
      </w:tcPr>
    </w:tblStylePr>
    <w:tblStylePr w:type="band1Horz">
      <w:rPr>
        <w:rFonts w:ascii="等线" w:hAnsi="等线"/>
        <w:color w:val="404040"/>
        <w:sz w:val="22"/>
      </w:rPr>
    </w:tblStylePr>
    <w:tblStylePr w:type="band2Horz">
      <w:rPr>
        <w:rFonts w:ascii="等线" w:hAnsi="等线"/>
        <w:color w:val="404040"/>
        <w:sz w:val="22"/>
      </w:rPr>
      <w:tcPr>
        <w:shd w:val="clear" w:color="FBE5D6" w:fill="FBE5D6"/>
      </w:tcPr>
    </w:tblStylePr>
  </w:style>
  <w:style w:type="table" w:customStyle="1" w:styleId="262">
    <w:name w:val="Bordered &amp; Lined - Accent 3"/>
    <w:basedOn w:val="53"/>
    <w:qFormat/>
    <w:uiPriority w:val="99"/>
    <w:rPr>
      <w:color w:val="404040"/>
    </w:rPr>
    <w:tblPr>
      <w:tblBorders>
        <w:top w:val="single" w:color="606060" w:sz="4" w:space="0"/>
        <w:left w:val="single" w:color="606060" w:sz="4" w:space="0"/>
        <w:bottom w:val="single" w:color="606060" w:sz="4" w:space="0"/>
        <w:right w:val="single" w:color="606060" w:sz="4" w:space="0"/>
        <w:insideH w:val="single" w:color="606060" w:sz="4" w:space="0"/>
        <w:insideV w:val="single" w:color="606060" w:sz="4" w:space="0"/>
      </w:tblBorders>
    </w:tblPr>
    <w:tblStylePr w:type="firstRow">
      <w:rPr>
        <w:rFonts w:ascii="等线" w:hAnsi="等线"/>
        <w:color w:val="F2F2F2"/>
        <w:sz w:val="22"/>
      </w:rPr>
      <w:tcPr>
        <w:shd w:val="clear" w:color="A5A5A5" w:fill="A5A5A5"/>
      </w:tcPr>
    </w:tblStylePr>
    <w:tblStylePr w:type="lastRow">
      <w:rPr>
        <w:rFonts w:ascii="等线" w:hAnsi="等线"/>
        <w:color w:val="F2F2F2"/>
        <w:sz w:val="22"/>
      </w:rPr>
      <w:tcPr>
        <w:shd w:val="clear" w:color="A5A5A5" w:fill="A5A5A5"/>
      </w:tcPr>
    </w:tblStylePr>
    <w:tblStylePr w:type="firstCol">
      <w:rPr>
        <w:rFonts w:ascii="等线" w:hAnsi="等线"/>
        <w:color w:val="F2F2F2"/>
        <w:sz w:val="22"/>
      </w:rPr>
      <w:tcPr>
        <w:shd w:val="clear" w:color="A5A5A5" w:fill="A5A5A5"/>
      </w:tcPr>
    </w:tblStylePr>
    <w:tblStylePr w:type="lastCol">
      <w:rPr>
        <w:rFonts w:ascii="等线" w:hAnsi="等线"/>
        <w:color w:val="F2F2F2"/>
        <w:sz w:val="22"/>
      </w:rPr>
      <w:tcPr>
        <w:shd w:val="clear" w:color="A5A5A5" w:fill="A5A5A5"/>
      </w:tcPr>
    </w:tblStylePr>
    <w:tblStylePr w:type="band1Vert">
      <w:rPr>
        <w:rFonts w:ascii="等线" w:hAnsi="等线"/>
        <w:color w:val="404040"/>
        <w:sz w:val="22"/>
      </w:rPr>
    </w:tblStylePr>
    <w:tblStylePr w:type="band2Vert">
      <w:rPr>
        <w:rFonts w:ascii="等线" w:hAnsi="等线"/>
        <w:color w:val="404040"/>
        <w:sz w:val="22"/>
      </w:rPr>
      <w:tcPr>
        <w:shd w:val="clear" w:color="ECECEC" w:fill="ECECEC"/>
      </w:tcPr>
    </w:tblStylePr>
    <w:tblStylePr w:type="band1Horz">
      <w:rPr>
        <w:rFonts w:ascii="等线" w:hAnsi="等线"/>
        <w:color w:val="404040"/>
        <w:sz w:val="22"/>
      </w:rPr>
    </w:tblStylePr>
    <w:tblStylePr w:type="band2Horz">
      <w:rPr>
        <w:rFonts w:ascii="等线" w:hAnsi="等线"/>
        <w:color w:val="404040"/>
        <w:sz w:val="22"/>
      </w:rPr>
      <w:tcPr>
        <w:shd w:val="clear" w:color="ECECEC" w:fill="ECECEC"/>
      </w:tcPr>
    </w:tblStylePr>
  </w:style>
  <w:style w:type="table" w:customStyle="1" w:styleId="263">
    <w:name w:val="Bordered &amp; Lined - Accent 4"/>
    <w:basedOn w:val="53"/>
    <w:qFormat/>
    <w:uiPriority w:val="99"/>
    <w:rPr>
      <w:color w:val="404040"/>
    </w:rPr>
    <w:tblPr>
      <w:tblBorders>
        <w:top w:val="single" w:color="947000" w:sz="4" w:space="0"/>
        <w:left w:val="single" w:color="947000" w:sz="4" w:space="0"/>
        <w:bottom w:val="single" w:color="947000" w:sz="4" w:space="0"/>
        <w:right w:val="single" w:color="947000" w:sz="4" w:space="0"/>
        <w:insideH w:val="single" w:color="947000" w:sz="4" w:space="0"/>
        <w:insideV w:val="single" w:color="947000" w:sz="4" w:space="0"/>
      </w:tblBorders>
    </w:tblPr>
    <w:tblStylePr w:type="firstRow">
      <w:rPr>
        <w:rFonts w:ascii="等线" w:hAnsi="等线"/>
        <w:color w:val="F2F2F2"/>
        <w:sz w:val="22"/>
      </w:rPr>
      <w:tcPr>
        <w:shd w:val="clear" w:color="FFD864" w:fill="FFD864"/>
      </w:tcPr>
    </w:tblStylePr>
    <w:tblStylePr w:type="lastRow">
      <w:rPr>
        <w:rFonts w:ascii="等线" w:hAnsi="等线"/>
        <w:color w:val="F2F2F2"/>
        <w:sz w:val="22"/>
      </w:rPr>
      <w:tcPr>
        <w:shd w:val="clear" w:color="FFD864" w:fill="FFD864"/>
      </w:tcPr>
    </w:tblStylePr>
    <w:tblStylePr w:type="firstCol">
      <w:rPr>
        <w:rFonts w:ascii="等线" w:hAnsi="等线"/>
        <w:color w:val="F2F2F2"/>
        <w:sz w:val="22"/>
      </w:rPr>
      <w:tcPr>
        <w:shd w:val="clear" w:color="FFD864" w:fill="FFD864"/>
      </w:tcPr>
    </w:tblStylePr>
    <w:tblStylePr w:type="lastCol">
      <w:rPr>
        <w:rFonts w:ascii="等线" w:hAnsi="等线"/>
        <w:color w:val="F2F2F2"/>
        <w:sz w:val="22"/>
      </w:rPr>
      <w:tcPr>
        <w:shd w:val="clear" w:color="FFD864" w:fill="FFD864"/>
      </w:tcPr>
    </w:tblStylePr>
    <w:tblStylePr w:type="band1Vert">
      <w:rPr>
        <w:rFonts w:ascii="等线" w:hAnsi="等线"/>
        <w:color w:val="404040"/>
        <w:sz w:val="22"/>
      </w:rPr>
    </w:tblStylePr>
    <w:tblStylePr w:type="band2Vert">
      <w:rPr>
        <w:rFonts w:ascii="等线" w:hAnsi="等线"/>
        <w:color w:val="404040"/>
        <w:sz w:val="22"/>
      </w:rPr>
      <w:tcPr>
        <w:shd w:val="clear" w:color="FEF2CA" w:fill="FEF2CA"/>
      </w:tcPr>
    </w:tblStylePr>
    <w:tblStylePr w:type="band1Horz">
      <w:rPr>
        <w:rFonts w:ascii="等线" w:hAnsi="等线"/>
        <w:color w:val="404040"/>
        <w:sz w:val="22"/>
      </w:rPr>
    </w:tblStylePr>
    <w:tblStylePr w:type="band2Horz">
      <w:rPr>
        <w:rFonts w:ascii="等线" w:hAnsi="等线"/>
        <w:color w:val="404040"/>
        <w:sz w:val="22"/>
      </w:rPr>
      <w:tcPr>
        <w:shd w:val="clear" w:color="FEF2CA" w:fill="FEF2CA"/>
      </w:tcPr>
    </w:tblStylePr>
  </w:style>
  <w:style w:type="table" w:customStyle="1" w:styleId="264">
    <w:name w:val="Bordered &amp; Lined - Accent 5"/>
    <w:basedOn w:val="53"/>
    <w:qFormat/>
    <w:uiPriority w:val="99"/>
    <w:rPr>
      <w:color w:val="404040"/>
    </w:rPr>
    <w:tblPr>
      <w:tblBorders>
        <w:top w:val="single" w:color="244175" w:sz="4" w:space="0"/>
        <w:left w:val="single" w:color="244175" w:sz="4" w:space="0"/>
        <w:bottom w:val="single" w:color="244175" w:sz="4" w:space="0"/>
        <w:right w:val="single" w:color="244175" w:sz="4" w:space="0"/>
        <w:insideH w:val="single" w:color="244175" w:sz="4" w:space="0"/>
        <w:insideV w:val="single" w:color="244175" w:sz="4" w:space="0"/>
      </w:tblBorders>
    </w:tblPr>
    <w:tblStylePr w:type="firstRow">
      <w:rPr>
        <w:rFonts w:ascii="等线" w:hAnsi="等线"/>
        <w:color w:val="F2F2F2"/>
        <w:sz w:val="22"/>
      </w:rPr>
      <w:tcPr>
        <w:shd w:val="clear" w:color="4472C4" w:fill="4472C4"/>
      </w:tcPr>
    </w:tblStylePr>
    <w:tblStylePr w:type="lastRow">
      <w:rPr>
        <w:rFonts w:ascii="等线" w:hAnsi="等线"/>
        <w:color w:val="F2F2F2"/>
        <w:sz w:val="22"/>
      </w:rPr>
      <w:tcPr>
        <w:shd w:val="clear" w:color="4472C4" w:fill="4472C4"/>
      </w:tcPr>
    </w:tblStylePr>
    <w:tblStylePr w:type="firstCol">
      <w:rPr>
        <w:rFonts w:ascii="等线" w:hAnsi="等线"/>
        <w:color w:val="F2F2F2"/>
        <w:sz w:val="22"/>
      </w:rPr>
      <w:tcPr>
        <w:shd w:val="clear" w:color="4472C4" w:fill="4472C4"/>
      </w:tcPr>
    </w:tblStylePr>
    <w:tblStylePr w:type="lastCol">
      <w:rPr>
        <w:rFonts w:ascii="等线" w:hAnsi="等线"/>
        <w:color w:val="F2F2F2"/>
        <w:sz w:val="22"/>
      </w:rPr>
      <w:tcPr>
        <w:shd w:val="clear" w:color="4472C4" w:fill="4472C4"/>
      </w:tcPr>
    </w:tblStylePr>
    <w:tblStylePr w:type="band1Vert">
      <w:rPr>
        <w:rFonts w:ascii="等线" w:hAnsi="等线"/>
        <w:color w:val="404040"/>
        <w:sz w:val="22"/>
      </w:rPr>
    </w:tblStylePr>
    <w:tblStylePr w:type="band2Vert">
      <w:rPr>
        <w:rFonts w:ascii="等线" w:hAnsi="等线"/>
        <w:color w:val="404040"/>
        <w:sz w:val="22"/>
      </w:rPr>
      <w:tcPr>
        <w:shd w:val="clear" w:color="D8E2F2" w:fill="D8E2F2"/>
      </w:tcPr>
    </w:tblStylePr>
    <w:tblStylePr w:type="band1Horz">
      <w:rPr>
        <w:rFonts w:ascii="等线" w:hAnsi="等线"/>
        <w:color w:val="404040"/>
        <w:sz w:val="22"/>
      </w:rPr>
    </w:tblStylePr>
    <w:tblStylePr w:type="band2Horz">
      <w:rPr>
        <w:rFonts w:ascii="等线" w:hAnsi="等线"/>
        <w:color w:val="404040"/>
        <w:sz w:val="22"/>
      </w:rPr>
      <w:tcPr>
        <w:shd w:val="clear" w:color="D8E2F2" w:fill="D8E2F2"/>
      </w:tcPr>
    </w:tblStylePr>
  </w:style>
  <w:style w:type="table" w:customStyle="1" w:styleId="265">
    <w:name w:val="Bordered &amp; Lined - Accent 6"/>
    <w:basedOn w:val="53"/>
    <w:qFormat/>
    <w:uiPriority w:val="99"/>
    <w:rPr>
      <w:color w:val="404040"/>
    </w:rPr>
    <w:tblPr>
      <w:tblBorders>
        <w:top w:val="single" w:color="416529" w:sz="4" w:space="0"/>
        <w:left w:val="single" w:color="416529" w:sz="4" w:space="0"/>
        <w:bottom w:val="single" w:color="416529" w:sz="4" w:space="0"/>
        <w:right w:val="single" w:color="416529" w:sz="4" w:space="0"/>
        <w:insideH w:val="single" w:color="416529" w:sz="4" w:space="0"/>
        <w:insideV w:val="single" w:color="416529" w:sz="4" w:space="0"/>
      </w:tblBorders>
    </w:tblPr>
    <w:tblStylePr w:type="firstRow">
      <w:rPr>
        <w:rFonts w:ascii="等线" w:hAnsi="等线"/>
        <w:color w:val="F2F2F2"/>
        <w:sz w:val="22"/>
      </w:rPr>
      <w:tcPr>
        <w:shd w:val="clear" w:color="70AD47" w:fill="70AD47"/>
      </w:tcPr>
    </w:tblStylePr>
    <w:tblStylePr w:type="lastRow">
      <w:rPr>
        <w:rFonts w:ascii="等线" w:hAnsi="等线"/>
        <w:color w:val="F2F2F2"/>
        <w:sz w:val="22"/>
      </w:rPr>
      <w:tcPr>
        <w:shd w:val="clear" w:color="70AD47" w:fill="70AD47"/>
      </w:tcPr>
    </w:tblStylePr>
    <w:tblStylePr w:type="firstCol">
      <w:rPr>
        <w:rFonts w:ascii="等线" w:hAnsi="等线"/>
        <w:color w:val="F2F2F2"/>
        <w:sz w:val="22"/>
      </w:rPr>
      <w:tcPr>
        <w:shd w:val="clear" w:color="70AD47" w:fill="70AD47"/>
      </w:tcPr>
    </w:tblStylePr>
    <w:tblStylePr w:type="lastCol">
      <w:rPr>
        <w:rFonts w:ascii="等线" w:hAnsi="等线"/>
        <w:color w:val="F2F2F2"/>
        <w:sz w:val="22"/>
      </w:rPr>
      <w:tcPr>
        <w:shd w:val="clear" w:color="70AD47" w:fill="70AD47"/>
      </w:tcPr>
    </w:tblStylePr>
    <w:tblStylePr w:type="band1Vert">
      <w:rPr>
        <w:rFonts w:ascii="等线" w:hAnsi="等线"/>
        <w:color w:val="404040"/>
        <w:sz w:val="22"/>
      </w:rPr>
    </w:tblStylePr>
    <w:tblStylePr w:type="band2Vert">
      <w:rPr>
        <w:rFonts w:ascii="等线" w:hAnsi="等线"/>
        <w:color w:val="404040"/>
        <w:sz w:val="22"/>
      </w:rPr>
      <w:tcPr>
        <w:shd w:val="clear" w:color="E1EFD8" w:fill="E1EFD8"/>
      </w:tcPr>
    </w:tblStylePr>
    <w:tblStylePr w:type="band1Horz">
      <w:rPr>
        <w:rFonts w:ascii="等线" w:hAnsi="等线"/>
        <w:color w:val="404040"/>
        <w:sz w:val="22"/>
      </w:rPr>
    </w:tblStylePr>
    <w:tblStylePr w:type="band2Horz">
      <w:rPr>
        <w:rFonts w:ascii="等线" w:hAnsi="等线"/>
        <w:color w:val="404040"/>
        <w:sz w:val="22"/>
      </w:rPr>
      <w:tcPr>
        <w:shd w:val="clear" w:color="E1EFD8" w:fill="E1EFD8"/>
      </w:tcPr>
    </w:tblStylePr>
  </w:style>
  <w:style w:type="table" w:customStyle="1" w:styleId="266">
    <w:name w:val="Bordered"/>
    <w:basedOn w:val="53"/>
    <w:qFormat/>
    <w:uiPriority w:val="99"/>
    <w:tblPr>
      <w:tblBorders>
        <w:top w:val="single" w:color="D8D8D8" w:sz="4" w:space="0"/>
        <w:left w:val="single" w:color="D8D8D8" w:sz="4" w:space="0"/>
        <w:bottom w:val="single" w:color="D8D8D8" w:sz="4" w:space="0"/>
        <w:right w:val="single" w:color="D8D8D8" w:sz="4" w:space="0"/>
        <w:insideH w:val="single" w:color="D8D8D8" w:sz="4" w:space="0"/>
        <w:insideV w:val="single" w:color="D8D8D8" w:sz="4" w:space="0"/>
      </w:tblBorders>
    </w:tblPr>
    <w:tblStylePr w:type="firstRow">
      <w:rPr>
        <w:rFonts w:ascii="等线" w:hAnsi="等线"/>
        <w:color w:val="404040"/>
        <w:sz w:val="22"/>
      </w:rPr>
      <w:tcPr>
        <w:tcBorders>
          <w:top w:val="nil"/>
          <w:left w:val="nil"/>
          <w:bottom w:val="single" w:color="7E7E7E" w:sz="12" w:space="0"/>
          <w:right w:val="nil"/>
          <w:insideH w:val="nil"/>
          <w:insideV w:val="nil"/>
          <w:tl2br w:val="nil"/>
          <w:tr2bl w:val="nil"/>
        </w:tcBorders>
      </w:tcPr>
    </w:tblStylePr>
    <w:tblStylePr w:type="lastRow">
      <w:rPr>
        <w:rFonts w:ascii="等线" w:hAnsi="等线"/>
        <w:color w:val="404040"/>
        <w:sz w:val="22"/>
      </w:rPr>
      <w:tcPr>
        <w:tcBorders>
          <w:top w:val="single" w:color="7E7E7E"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7E7E7E" w:sz="12" w:space="0"/>
          <w:bottom w:val="nil"/>
          <w:right w:val="nil"/>
          <w:insideH w:val="nil"/>
          <w:insideV w:val="nil"/>
          <w:tl2br w:val="nil"/>
          <w:tr2bl w:val="nil"/>
        </w:tcBorders>
      </w:tcPr>
    </w:tblStylePr>
    <w:tblStylePr w:type="band1Horz">
      <w:rPr>
        <w:rFonts w:ascii="等线" w:hAnsi="等线"/>
        <w:color w:val="404040"/>
        <w:sz w:val="22"/>
      </w:rPr>
      <w:tcPr>
        <w:tcBorders>
          <w:top w:val="single" w:color="D8D8D8" w:sz="4" w:space="0"/>
          <w:left w:val="single" w:color="D8D8D8" w:sz="4" w:space="0"/>
          <w:bottom w:val="single" w:color="D8D8D8" w:sz="4" w:space="0"/>
          <w:right w:val="single" w:color="D8D8D8" w:sz="4" w:space="0"/>
          <w:insideH w:val="nil"/>
          <w:insideV w:val="nil"/>
          <w:tl2br w:val="nil"/>
          <w:tr2bl w:val="nil"/>
        </w:tcBorders>
      </w:tcPr>
    </w:tblStylePr>
  </w:style>
  <w:style w:type="table" w:customStyle="1" w:styleId="267">
    <w:name w:val="Bordered - Accent 1"/>
    <w:basedOn w:val="53"/>
    <w:qFormat/>
    <w:uiPriority w:val="99"/>
    <w:tblPr>
      <w:tblBorders>
        <w:top w:val="single" w:color="BCD6EE" w:sz="4" w:space="0"/>
        <w:left w:val="single" w:color="BCD6EE" w:sz="4" w:space="0"/>
        <w:bottom w:val="single" w:color="BCD6EE" w:sz="4" w:space="0"/>
        <w:right w:val="single" w:color="BCD6EE" w:sz="4" w:space="0"/>
        <w:insideH w:val="single" w:color="BCD6EE" w:sz="4" w:space="0"/>
        <w:insideV w:val="single" w:color="BCD6EE" w:sz="4" w:space="0"/>
      </w:tblBorders>
    </w:tblPr>
    <w:tblStylePr w:type="firstRow">
      <w:rPr>
        <w:rFonts w:ascii="等线" w:hAnsi="等线"/>
        <w:color w:val="404040"/>
        <w:sz w:val="22"/>
      </w:rPr>
      <w:tcPr>
        <w:tcBorders>
          <w:top w:val="nil"/>
          <w:left w:val="nil"/>
          <w:bottom w:val="single" w:color="5B9BD5" w:sz="12" w:space="0"/>
          <w:right w:val="nil"/>
          <w:insideH w:val="nil"/>
          <w:insideV w:val="nil"/>
          <w:tl2br w:val="nil"/>
          <w:tr2bl w:val="nil"/>
        </w:tcBorders>
      </w:tcPr>
    </w:tblStylePr>
    <w:tblStylePr w:type="lastRow">
      <w:rPr>
        <w:rFonts w:ascii="等线" w:hAnsi="等线"/>
        <w:color w:val="404040"/>
        <w:sz w:val="22"/>
      </w:rPr>
      <w:tcPr>
        <w:tcBorders>
          <w:top w:val="single" w:color="5B9BD5"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5B9BD5" w:sz="12" w:space="0"/>
          <w:bottom w:val="nil"/>
          <w:right w:val="nil"/>
          <w:insideH w:val="nil"/>
          <w:insideV w:val="nil"/>
          <w:tl2br w:val="nil"/>
          <w:tr2bl w:val="nil"/>
        </w:tcBorders>
      </w:tcPr>
    </w:tblStylePr>
    <w:tblStylePr w:type="band1Horz">
      <w:rPr>
        <w:rFonts w:ascii="等线" w:hAnsi="等线"/>
        <w:color w:val="404040"/>
        <w:sz w:val="22"/>
      </w:rPr>
      <w:tcPr>
        <w:tcBorders>
          <w:top w:val="single" w:color="BCD6EE" w:sz="4" w:space="0"/>
          <w:left w:val="single" w:color="BCD6EE" w:sz="4" w:space="0"/>
          <w:bottom w:val="single" w:color="BCD6EE" w:sz="4" w:space="0"/>
          <w:right w:val="single" w:color="BCD6EE" w:sz="4" w:space="0"/>
          <w:insideH w:val="nil"/>
          <w:insideV w:val="nil"/>
          <w:tl2br w:val="nil"/>
          <w:tr2bl w:val="nil"/>
        </w:tcBorders>
      </w:tcPr>
    </w:tblStylePr>
  </w:style>
  <w:style w:type="table" w:customStyle="1" w:styleId="268">
    <w:name w:val="Bordered - Accent 2"/>
    <w:basedOn w:val="53"/>
    <w:qFormat/>
    <w:uiPriority w:val="99"/>
    <w:tblPr>
      <w:tblBorders>
        <w:top w:val="single" w:color="F7CAAB" w:sz="4" w:space="0"/>
        <w:left w:val="single" w:color="F7CAAB" w:sz="4" w:space="0"/>
        <w:bottom w:val="single" w:color="F7CAAB" w:sz="4" w:space="0"/>
        <w:right w:val="single" w:color="F7CAAB" w:sz="4" w:space="0"/>
        <w:insideH w:val="single" w:color="F7CAAB" w:sz="4" w:space="0"/>
        <w:insideV w:val="single" w:color="F7CAAB" w:sz="4" w:space="0"/>
      </w:tblBorders>
    </w:tblPr>
    <w:tblStylePr w:type="firstRow">
      <w:rPr>
        <w:rFonts w:ascii="等线" w:hAnsi="等线"/>
        <w:color w:val="404040"/>
        <w:sz w:val="22"/>
      </w:rPr>
      <w:tcPr>
        <w:tcBorders>
          <w:top w:val="nil"/>
          <w:left w:val="nil"/>
          <w:bottom w:val="single" w:color="F4B285" w:sz="12" w:space="0"/>
          <w:right w:val="nil"/>
          <w:insideH w:val="nil"/>
          <w:insideV w:val="nil"/>
          <w:tl2br w:val="nil"/>
          <w:tr2bl w:val="nil"/>
        </w:tcBorders>
      </w:tcPr>
    </w:tblStylePr>
    <w:tblStylePr w:type="lastRow">
      <w:rPr>
        <w:rFonts w:ascii="等线" w:hAnsi="等线"/>
        <w:color w:val="404040"/>
        <w:sz w:val="22"/>
      </w:rPr>
      <w:tcPr>
        <w:tcBorders>
          <w:top w:val="single" w:color="F4B285"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F4B285" w:sz="12" w:space="0"/>
          <w:bottom w:val="nil"/>
          <w:right w:val="nil"/>
          <w:insideH w:val="nil"/>
          <w:insideV w:val="nil"/>
          <w:tl2br w:val="nil"/>
          <w:tr2bl w:val="nil"/>
        </w:tcBorders>
      </w:tcPr>
    </w:tblStylePr>
    <w:tblStylePr w:type="band1Horz">
      <w:rPr>
        <w:rFonts w:ascii="等线" w:hAnsi="等线"/>
        <w:color w:val="404040"/>
        <w:sz w:val="22"/>
      </w:rPr>
      <w:tcPr>
        <w:tcBorders>
          <w:top w:val="single" w:color="F7CAAB" w:sz="4" w:space="0"/>
          <w:left w:val="single" w:color="F7CAAB" w:sz="4" w:space="0"/>
          <w:bottom w:val="single" w:color="F7CAAB" w:sz="4" w:space="0"/>
          <w:right w:val="single" w:color="F7CAAB" w:sz="4" w:space="0"/>
          <w:insideH w:val="nil"/>
          <w:insideV w:val="nil"/>
          <w:tl2br w:val="nil"/>
          <w:tr2bl w:val="nil"/>
        </w:tcBorders>
      </w:tcPr>
    </w:tblStylePr>
  </w:style>
  <w:style w:type="table" w:customStyle="1" w:styleId="269">
    <w:name w:val="Bordered - Accent 3"/>
    <w:basedOn w:val="53"/>
    <w:qFormat/>
    <w:uiPriority w:val="99"/>
    <w:tblPr>
      <w:tblBorders>
        <w:top w:val="single" w:color="DADADA" w:sz="4" w:space="0"/>
        <w:left w:val="single" w:color="DADADA" w:sz="4" w:space="0"/>
        <w:bottom w:val="single" w:color="DADADA" w:sz="4" w:space="0"/>
        <w:right w:val="single" w:color="DADADA" w:sz="4" w:space="0"/>
        <w:insideH w:val="single" w:color="DADADA" w:sz="4" w:space="0"/>
        <w:insideV w:val="single" w:color="DADADA" w:sz="4" w:space="0"/>
      </w:tblBorders>
    </w:tblPr>
    <w:tblStylePr w:type="firstRow">
      <w:rPr>
        <w:rFonts w:ascii="等线" w:hAnsi="等线"/>
        <w:color w:val="404040"/>
        <w:sz w:val="22"/>
      </w:rPr>
      <w:tcPr>
        <w:tcBorders>
          <w:top w:val="nil"/>
          <w:left w:val="nil"/>
          <w:bottom w:val="single" w:color="C9C9C9" w:sz="12" w:space="0"/>
          <w:right w:val="nil"/>
          <w:insideH w:val="nil"/>
          <w:insideV w:val="nil"/>
          <w:tl2br w:val="nil"/>
          <w:tr2bl w:val="nil"/>
        </w:tcBorders>
      </w:tcPr>
    </w:tblStylePr>
    <w:tblStylePr w:type="lastRow">
      <w:rPr>
        <w:rFonts w:ascii="等线" w:hAnsi="等线"/>
        <w:color w:val="404040"/>
        <w:sz w:val="22"/>
      </w:rPr>
      <w:tcPr>
        <w:tcBorders>
          <w:top w:val="single" w:color="C9C9C9"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C9C9C9" w:sz="12" w:space="0"/>
          <w:bottom w:val="nil"/>
          <w:right w:val="nil"/>
          <w:insideH w:val="nil"/>
          <w:insideV w:val="nil"/>
          <w:tl2br w:val="nil"/>
          <w:tr2bl w:val="nil"/>
        </w:tcBorders>
      </w:tcPr>
    </w:tblStylePr>
    <w:tblStylePr w:type="band1Horz">
      <w:rPr>
        <w:rFonts w:ascii="等线" w:hAnsi="等线"/>
        <w:color w:val="404040"/>
        <w:sz w:val="22"/>
      </w:rPr>
      <w:tcPr>
        <w:tcBorders>
          <w:top w:val="single" w:color="DADADA" w:sz="4" w:space="0"/>
          <w:left w:val="single" w:color="DADADA" w:sz="4" w:space="0"/>
          <w:bottom w:val="single" w:color="DADADA" w:sz="4" w:space="0"/>
          <w:right w:val="single" w:color="DADADA" w:sz="4" w:space="0"/>
          <w:insideH w:val="nil"/>
          <w:insideV w:val="nil"/>
          <w:tl2br w:val="nil"/>
          <w:tr2bl w:val="nil"/>
        </w:tcBorders>
      </w:tcPr>
    </w:tblStylePr>
  </w:style>
  <w:style w:type="table" w:customStyle="1" w:styleId="270">
    <w:name w:val="Bordered - Accent 4"/>
    <w:basedOn w:val="53"/>
    <w:qFormat/>
    <w:uiPriority w:val="99"/>
    <w:tblPr>
      <w:tblBorders>
        <w:top w:val="single" w:color="FFE597" w:sz="4" w:space="0"/>
        <w:left w:val="single" w:color="FFE597" w:sz="4" w:space="0"/>
        <w:bottom w:val="single" w:color="FFE597" w:sz="4" w:space="0"/>
        <w:right w:val="single" w:color="FFE597" w:sz="4" w:space="0"/>
        <w:insideH w:val="single" w:color="FFE597" w:sz="4" w:space="0"/>
        <w:insideV w:val="single" w:color="FFE597" w:sz="4" w:space="0"/>
      </w:tblBorders>
    </w:tblPr>
    <w:tblStylePr w:type="firstRow">
      <w:rPr>
        <w:rFonts w:ascii="等线" w:hAnsi="等线"/>
        <w:color w:val="404040"/>
        <w:sz w:val="22"/>
      </w:rPr>
      <w:tcPr>
        <w:tcBorders>
          <w:top w:val="nil"/>
          <w:left w:val="nil"/>
          <w:bottom w:val="single" w:color="FFD864" w:sz="12" w:space="0"/>
          <w:right w:val="nil"/>
          <w:insideH w:val="nil"/>
          <w:insideV w:val="nil"/>
          <w:tl2br w:val="nil"/>
          <w:tr2bl w:val="nil"/>
        </w:tcBorders>
      </w:tcPr>
    </w:tblStylePr>
    <w:tblStylePr w:type="lastRow">
      <w:rPr>
        <w:rFonts w:ascii="等线" w:hAnsi="等线"/>
        <w:color w:val="404040"/>
        <w:sz w:val="22"/>
      </w:rPr>
      <w:tcPr>
        <w:tcBorders>
          <w:top w:val="single" w:color="FFD864"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FFD864" w:sz="12" w:space="0"/>
          <w:bottom w:val="nil"/>
          <w:right w:val="nil"/>
          <w:insideH w:val="nil"/>
          <w:insideV w:val="nil"/>
          <w:tl2br w:val="nil"/>
          <w:tr2bl w:val="nil"/>
        </w:tcBorders>
      </w:tcPr>
    </w:tblStylePr>
    <w:tblStylePr w:type="band1Horz">
      <w:rPr>
        <w:rFonts w:ascii="等线" w:hAnsi="等线"/>
        <w:color w:val="404040"/>
        <w:sz w:val="22"/>
      </w:rPr>
      <w:tcPr>
        <w:tcBorders>
          <w:top w:val="single" w:color="FFE597" w:sz="4" w:space="0"/>
          <w:left w:val="single" w:color="FFE597" w:sz="4" w:space="0"/>
          <w:bottom w:val="single" w:color="FFE597" w:sz="4" w:space="0"/>
          <w:right w:val="single" w:color="FFE597" w:sz="4" w:space="0"/>
          <w:insideH w:val="nil"/>
          <w:insideV w:val="nil"/>
          <w:tl2br w:val="nil"/>
          <w:tr2bl w:val="nil"/>
        </w:tcBorders>
      </w:tcPr>
    </w:tblStylePr>
  </w:style>
  <w:style w:type="table" w:customStyle="1" w:styleId="271">
    <w:name w:val="Bordered - Accent 5"/>
    <w:basedOn w:val="53"/>
    <w:qFormat/>
    <w:uiPriority w:val="99"/>
    <w:tblPr>
      <w:tblBorders>
        <w:top w:val="single" w:color="B3C6E7" w:sz="4" w:space="0"/>
        <w:left w:val="single" w:color="B3C6E7" w:sz="4" w:space="0"/>
        <w:bottom w:val="single" w:color="B3C6E7" w:sz="4" w:space="0"/>
        <w:right w:val="single" w:color="B3C6E7" w:sz="4" w:space="0"/>
        <w:insideH w:val="single" w:color="B3C6E7" w:sz="4" w:space="0"/>
        <w:insideV w:val="single" w:color="B3C6E7" w:sz="4" w:space="0"/>
      </w:tblBorders>
    </w:tblPr>
    <w:tblStylePr w:type="firstRow">
      <w:rPr>
        <w:rFonts w:ascii="等线" w:hAnsi="等线"/>
        <w:color w:val="404040"/>
        <w:sz w:val="22"/>
      </w:rPr>
      <w:tcPr>
        <w:tcBorders>
          <w:top w:val="nil"/>
          <w:left w:val="nil"/>
          <w:bottom w:val="single" w:color="8EA9DB" w:sz="12" w:space="0"/>
          <w:right w:val="nil"/>
          <w:insideH w:val="nil"/>
          <w:insideV w:val="nil"/>
          <w:tl2br w:val="nil"/>
          <w:tr2bl w:val="nil"/>
        </w:tcBorders>
      </w:tcPr>
    </w:tblStylePr>
    <w:tblStylePr w:type="lastRow">
      <w:rPr>
        <w:rFonts w:ascii="等线" w:hAnsi="等线"/>
        <w:color w:val="404040"/>
        <w:sz w:val="22"/>
      </w:rPr>
      <w:tcPr>
        <w:tcBorders>
          <w:top w:val="single" w:color="8EA9DB"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8EA9DB" w:sz="12" w:space="0"/>
          <w:bottom w:val="nil"/>
          <w:right w:val="nil"/>
          <w:insideH w:val="nil"/>
          <w:insideV w:val="nil"/>
          <w:tl2br w:val="nil"/>
          <w:tr2bl w:val="nil"/>
        </w:tcBorders>
      </w:tcPr>
    </w:tblStylePr>
    <w:tblStylePr w:type="band1Horz">
      <w:rPr>
        <w:rFonts w:ascii="等线" w:hAnsi="等线"/>
        <w:color w:val="404040"/>
        <w:sz w:val="22"/>
      </w:rPr>
      <w:tcPr>
        <w:tcBorders>
          <w:top w:val="single" w:color="B3C6E7" w:sz="4" w:space="0"/>
          <w:left w:val="single" w:color="B3C6E7" w:sz="4" w:space="0"/>
          <w:bottom w:val="single" w:color="B3C6E7" w:sz="4" w:space="0"/>
          <w:right w:val="single" w:color="B3C6E7" w:sz="4" w:space="0"/>
          <w:insideH w:val="nil"/>
          <w:insideV w:val="nil"/>
          <w:tl2br w:val="nil"/>
          <w:tr2bl w:val="nil"/>
        </w:tcBorders>
      </w:tcPr>
    </w:tblStylePr>
  </w:style>
  <w:style w:type="table" w:customStyle="1" w:styleId="272">
    <w:name w:val="Bordered - Accent 6"/>
    <w:basedOn w:val="53"/>
    <w:qFormat/>
    <w:uiPriority w:val="99"/>
    <w:tblPr>
      <w:tblBorders>
        <w:top w:val="single" w:color="C4DFB2" w:sz="4" w:space="0"/>
        <w:left w:val="single" w:color="C4DFB2" w:sz="4" w:space="0"/>
        <w:bottom w:val="single" w:color="C4DFB2" w:sz="4" w:space="0"/>
        <w:right w:val="single" w:color="C4DFB2" w:sz="4" w:space="0"/>
        <w:insideH w:val="single" w:color="C4DFB2" w:sz="4" w:space="0"/>
        <w:insideV w:val="single" w:color="C4DFB2" w:sz="4" w:space="0"/>
      </w:tblBorders>
    </w:tblPr>
    <w:tblStylePr w:type="firstRow">
      <w:rPr>
        <w:rFonts w:ascii="等线" w:hAnsi="等线"/>
        <w:color w:val="404040"/>
        <w:sz w:val="22"/>
      </w:rPr>
      <w:tcPr>
        <w:tcBorders>
          <w:top w:val="nil"/>
          <w:left w:val="nil"/>
          <w:bottom w:val="single" w:color="A9D08E" w:sz="12" w:space="0"/>
          <w:right w:val="nil"/>
          <w:insideH w:val="nil"/>
          <w:insideV w:val="nil"/>
          <w:tl2br w:val="nil"/>
          <w:tr2bl w:val="nil"/>
        </w:tcBorders>
      </w:tcPr>
    </w:tblStylePr>
    <w:tblStylePr w:type="lastRow">
      <w:rPr>
        <w:rFonts w:ascii="等线" w:hAnsi="等线"/>
        <w:color w:val="404040"/>
        <w:sz w:val="22"/>
      </w:rPr>
      <w:tcPr>
        <w:tcBorders>
          <w:top w:val="single" w:color="A9D08E" w:sz="12" w:space="0"/>
          <w:left w:val="nil"/>
          <w:bottom w:val="nil"/>
          <w:right w:val="nil"/>
          <w:insideH w:val="nil"/>
          <w:insideV w:val="nil"/>
          <w:tl2br w:val="nil"/>
          <w:tr2bl w:val="nil"/>
        </w:tcBorders>
      </w:tcPr>
    </w:tblStylePr>
    <w:tblStylePr w:type="firstCol">
      <w:rPr>
        <w:rFonts w:ascii="等线" w:hAnsi="等线"/>
        <w:color w:val="404040"/>
        <w:sz w:val="22"/>
      </w:rPr>
    </w:tblStylePr>
    <w:tblStylePr w:type="lastCol">
      <w:rPr>
        <w:rFonts w:ascii="等线" w:hAnsi="等线"/>
        <w:color w:val="404040"/>
        <w:sz w:val="22"/>
      </w:rPr>
      <w:tcPr>
        <w:tcBorders>
          <w:top w:val="nil"/>
          <w:left w:val="single" w:color="A9D08E" w:sz="12" w:space="0"/>
          <w:bottom w:val="nil"/>
          <w:right w:val="nil"/>
          <w:insideH w:val="nil"/>
          <w:insideV w:val="nil"/>
          <w:tl2br w:val="nil"/>
          <w:tr2bl w:val="nil"/>
        </w:tcBorders>
      </w:tcPr>
    </w:tblStylePr>
    <w:tblStylePr w:type="band1Horz">
      <w:rPr>
        <w:rFonts w:ascii="等线" w:hAnsi="等线"/>
        <w:color w:val="404040"/>
        <w:sz w:val="22"/>
      </w:rPr>
      <w:tcPr>
        <w:tcBorders>
          <w:top w:val="single" w:color="C4DFB2" w:sz="4" w:space="0"/>
          <w:left w:val="single" w:color="C4DFB2" w:sz="4" w:space="0"/>
          <w:bottom w:val="single" w:color="C4DFB2" w:sz="4" w:space="0"/>
          <w:right w:val="single" w:color="C4DFB2" w:sz="4" w:space="0"/>
          <w:insideH w:val="nil"/>
          <w:insideV w:val="nil"/>
          <w:tl2br w:val="nil"/>
          <w:tr2bl w:val="nil"/>
        </w:tcBorders>
      </w:tcPr>
    </w:tblStylePr>
  </w:style>
  <w:style w:type="paragraph" w:customStyle="1" w:styleId="273">
    <w:name w:val="TOC 标题11"/>
    <w:unhideWhenUsed/>
    <w:qFormat/>
    <w:uiPriority w:val="39"/>
    <w:rPr>
      <w:rFonts w:ascii="Times New Roman" w:hAnsi="Times New Roman" w:eastAsia="宋体" w:cs="Times New Roman"/>
      <w:lang w:val="en-US" w:eastAsia="zh-CN" w:bidi="ar-SA"/>
    </w:rPr>
  </w:style>
  <w:style w:type="paragraph" w:customStyle="1" w:styleId="274">
    <w:name w:val="Normal_0"/>
    <w:qFormat/>
    <w:uiPriority w:val="0"/>
    <w:rPr>
      <w:rFonts w:ascii="黑体" w:hAnsi="黑体" w:eastAsia="黑体" w:cs="Times New Roman"/>
      <w:b/>
      <w:sz w:val="32"/>
      <w:szCs w:val="24"/>
      <w:lang w:val="en-US" w:eastAsia="zh-CN" w:bidi="ar-SA"/>
    </w:rPr>
  </w:style>
  <w:style w:type="paragraph" w:customStyle="1" w:styleId="275">
    <w:name w:val="正文1"/>
    <w:next w:val="9"/>
    <w:qFormat/>
    <w:uiPriority w:val="0"/>
    <w:rPr>
      <w:rFonts w:ascii="Times New Roman" w:hAnsi="Times New Roman" w:eastAsia="Times New Roman" w:cs="Times New Roman"/>
      <w:sz w:val="24"/>
      <w:szCs w:val="24"/>
      <w:lang w:val="en-US" w:eastAsia="zh-CN" w:bidi="ar-SA"/>
    </w:rPr>
  </w:style>
  <w:style w:type="paragraph" w:customStyle="1" w:styleId="276">
    <w:name w:val="Normal_0_3"/>
    <w:qFormat/>
    <w:uiPriority w:val="0"/>
    <w:rPr>
      <w:rFonts w:ascii="黑体" w:hAnsi="黑体" w:eastAsia="黑体" w:cs="黑体"/>
      <w:b/>
      <w:sz w:val="32"/>
      <w:szCs w:val="24"/>
      <w:lang w:val="en-US" w:eastAsia="zh-CN" w:bidi="ar-SA"/>
    </w:rPr>
  </w:style>
  <w:style w:type="paragraph" w:customStyle="1" w:styleId="277">
    <w:name w:val="正文首行缩进 2_0"/>
    <w:basedOn w:val="278"/>
    <w:qFormat/>
    <w:uiPriority w:val="0"/>
    <w:pPr>
      <w:spacing w:after="120"/>
      <w:ind w:left="200" w:firstLine="200"/>
    </w:pPr>
    <w:rPr>
      <w:rFonts w:ascii="Times New Roman" w:hAnsi="Times New Roman"/>
      <w:sz w:val="24"/>
      <w:szCs w:val="24"/>
    </w:rPr>
  </w:style>
  <w:style w:type="paragraph" w:customStyle="1" w:styleId="278">
    <w:name w:val="正文文本缩进_0"/>
    <w:basedOn w:val="279"/>
    <w:qFormat/>
    <w:uiPriority w:val="0"/>
    <w:pPr>
      <w:ind w:firstLine="225"/>
    </w:pPr>
    <w:rPr>
      <w:rFonts w:ascii="仿宋_GB2312" w:eastAsia="仿宋_GB2312"/>
      <w:sz w:val="32"/>
    </w:rPr>
  </w:style>
  <w:style w:type="paragraph" w:customStyle="1" w:styleId="279">
    <w:name w:val="正文_2"/>
    <w:next w:val="278"/>
    <w:qFormat/>
    <w:uiPriority w:val="0"/>
    <w:pPr>
      <w:widowControl w:val="0"/>
      <w:jc w:val="both"/>
    </w:pPr>
    <w:rPr>
      <w:rFonts w:ascii="Calibri" w:hAnsi="Calibri" w:eastAsia="宋体" w:cs="Times New Roman"/>
      <w:sz w:val="21"/>
      <w:szCs w:val="22"/>
      <w:lang w:val="en-US" w:eastAsia="zh-CN" w:bidi="ar-SA"/>
    </w:rPr>
  </w:style>
  <w:style w:type="paragraph" w:customStyle="1" w:styleId="280">
    <w:name w:val="Normal_0_2"/>
    <w:next w:val="281"/>
    <w:qFormat/>
    <w:uiPriority w:val="0"/>
    <w:rPr>
      <w:rFonts w:ascii="黑体" w:hAnsi="黑体" w:eastAsia="黑体" w:cs="黑体"/>
      <w:b/>
      <w:sz w:val="32"/>
      <w:szCs w:val="24"/>
      <w:lang w:val="en-US" w:eastAsia="zh-CN" w:bidi="ar-SA"/>
    </w:rPr>
  </w:style>
  <w:style w:type="paragraph" w:customStyle="1" w:styleId="281">
    <w:name w:val="Body Text First Indent_1"/>
    <w:basedOn w:val="8"/>
    <w:unhideWhenUsed/>
    <w:qFormat/>
    <w:uiPriority w:val="99"/>
    <w:pPr>
      <w:spacing w:after="120"/>
      <w:ind w:firstLine="420" w:firstLineChars="100"/>
    </w:pPr>
    <w:rPr>
      <w:rFonts w:eastAsia="Times New Roman"/>
      <w:kern w:val="0"/>
      <w:sz w:val="20"/>
    </w:rPr>
  </w:style>
  <w:style w:type="paragraph" w:customStyle="1" w:styleId="282">
    <w:name w:val="Normal_1_2"/>
    <w:qFormat/>
    <w:uiPriority w:val="0"/>
    <w:rPr>
      <w:rFonts w:ascii="Times New Roman" w:hAnsi="Times New Roman" w:eastAsia="Times New Roman" w:cs="Times New Roman"/>
      <w:sz w:val="24"/>
      <w:szCs w:val="24"/>
      <w:lang w:val="en-US" w:eastAsia="zh-CN" w:bidi="ar-SA"/>
    </w:rPr>
  </w:style>
  <w:style w:type="paragraph" w:customStyle="1" w:styleId="283">
    <w:name w:val="Normal_0_1"/>
    <w:next w:val="284"/>
    <w:qFormat/>
    <w:uiPriority w:val="0"/>
    <w:rPr>
      <w:rFonts w:ascii="黑体" w:hAnsi="黑体" w:eastAsia="黑体" w:cs="黑体"/>
      <w:b/>
      <w:sz w:val="32"/>
      <w:szCs w:val="24"/>
      <w:lang w:val="en-US" w:eastAsia="zh-CN" w:bidi="ar-SA"/>
    </w:rPr>
  </w:style>
  <w:style w:type="paragraph" w:customStyle="1" w:styleId="284">
    <w:name w:val="Body Text First Indent_0"/>
    <w:basedOn w:val="285"/>
    <w:unhideWhenUsed/>
    <w:qFormat/>
    <w:uiPriority w:val="99"/>
    <w:pPr>
      <w:spacing w:after="120"/>
      <w:ind w:firstLine="420" w:firstLineChars="100"/>
    </w:pPr>
    <w:rPr>
      <w:rFonts w:eastAsia="Times New Roman"/>
    </w:rPr>
  </w:style>
  <w:style w:type="paragraph" w:customStyle="1" w:styleId="285">
    <w:name w:val="正文3"/>
    <w:next w:val="286"/>
    <w:qFormat/>
    <w:uiPriority w:val="0"/>
    <w:rPr>
      <w:rFonts w:ascii="Times New Roman" w:hAnsi="Times New Roman" w:eastAsia="Times New Roman" w:cs="Times New Roman"/>
      <w:sz w:val="24"/>
      <w:szCs w:val="24"/>
      <w:lang w:val="en-US" w:eastAsia="zh-CN" w:bidi="ar-SA"/>
    </w:rPr>
  </w:style>
  <w:style w:type="paragraph" w:customStyle="1" w:styleId="286">
    <w:name w:val="正文首行缩进3"/>
    <w:basedOn w:val="275"/>
    <w:unhideWhenUsed/>
    <w:qFormat/>
    <w:uiPriority w:val="99"/>
    <w:pPr>
      <w:spacing w:after="120"/>
      <w:ind w:firstLine="420" w:firstLineChars="100"/>
    </w:pPr>
    <w:rPr>
      <w:kern w:val="0"/>
      <w:sz w:val="20"/>
    </w:rPr>
  </w:style>
  <w:style w:type="paragraph" w:customStyle="1" w:styleId="287">
    <w:name w:val="Normal_1_1"/>
    <w:qFormat/>
    <w:uiPriority w:val="0"/>
    <w:rPr>
      <w:rFonts w:ascii="黑体" w:hAnsi="黑体" w:eastAsia="黑体" w:cs="黑体"/>
      <w:b/>
      <w:sz w:val="32"/>
      <w:szCs w:val="24"/>
      <w:lang w:val="en-US" w:eastAsia="zh-CN" w:bidi="ar-SA"/>
    </w:rPr>
  </w:style>
  <w:style w:type="paragraph" w:customStyle="1" w:styleId="288">
    <w:name w:val="正文_0_1"/>
    <w:qFormat/>
    <w:uiPriority w:val="0"/>
    <w:pPr>
      <w:widowControl w:val="0"/>
      <w:jc w:val="both"/>
    </w:pPr>
    <w:rPr>
      <w:rFonts w:ascii="Calibri" w:hAnsi="Calibri" w:eastAsia="宋体" w:cs="Times New Roman"/>
      <w:sz w:val="21"/>
      <w:szCs w:val="22"/>
      <w:lang w:val="en-US" w:eastAsia="zh-CN" w:bidi="ar-SA"/>
    </w:rPr>
  </w:style>
  <w:style w:type="paragraph" w:customStyle="1" w:styleId="289">
    <w:name w:val="正文_1_1"/>
    <w:qFormat/>
    <w:uiPriority w:val="0"/>
    <w:pPr>
      <w:widowControl w:val="0"/>
      <w:jc w:val="both"/>
    </w:pPr>
    <w:rPr>
      <w:rFonts w:ascii="Calibri" w:hAnsi="Calibri" w:eastAsia="宋体" w:cs="Times New Roman"/>
      <w:sz w:val="21"/>
      <w:szCs w:val="22"/>
      <w:lang w:val="en-US" w:eastAsia="zh-CN" w:bidi="ar-SA"/>
    </w:rPr>
  </w:style>
  <w:style w:type="paragraph" w:customStyle="1" w:styleId="290">
    <w:name w:val="Normal_2_0"/>
    <w:qFormat/>
    <w:uiPriority w:val="0"/>
    <w:rPr>
      <w:rFonts w:ascii="黑体" w:hAnsi="黑体" w:eastAsia="黑体" w:cs="黑体"/>
      <w:b/>
      <w:sz w:val="32"/>
      <w:szCs w:val="24"/>
      <w:lang w:val="en-US" w:eastAsia="zh-CN" w:bidi="ar-SA"/>
    </w:rPr>
  </w:style>
  <w:style w:type="paragraph" w:customStyle="1" w:styleId="291">
    <w:name w:val="Normal_3_0"/>
    <w:qFormat/>
    <w:uiPriority w:val="0"/>
    <w:pPr>
      <w:widowControl w:val="0"/>
      <w:jc w:val="both"/>
    </w:pPr>
    <w:rPr>
      <w:rFonts w:ascii="Calibri" w:hAnsi="Calibri" w:eastAsia="宋体" w:cs="Times New Roman"/>
      <w:sz w:val="21"/>
      <w:szCs w:val="22"/>
      <w:lang w:val="en-US" w:eastAsia="zh-CN" w:bidi="ar-SA"/>
    </w:rPr>
  </w:style>
  <w:style w:type="paragraph" w:customStyle="1" w:styleId="292">
    <w:name w:val="Normal_4_0"/>
    <w:qFormat/>
    <w:uiPriority w:val="0"/>
    <w:rPr>
      <w:rFonts w:ascii="黑体" w:hAnsi="黑体" w:eastAsia="黑体" w:cs="黑体"/>
      <w:b/>
      <w:sz w:val="32"/>
      <w:szCs w:val="24"/>
      <w:lang w:val="en-US" w:eastAsia="zh-CN" w:bidi="ar-SA"/>
    </w:rPr>
  </w:style>
  <w:style w:type="paragraph" w:customStyle="1" w:styleId="293">
    <w:name w:val="Normal_5_0"/>
    <w:qFormat/>
    <w:uiPriority w:val="0"/>
    <w:pPr>
      <w:widowControl w:val="0"/>
      <w:jc w:val="both"/>
    </w:pPr>
    <w:rPr>
      <w:rFonts w:ascii="Calibri" w:hAnsi="Calibri" w:eastAsia="宋体" w:cs="Times New Roman"/>
      <w:sz w:val="21"/>
      <w:szCs w:val="22"/>
      <w:lang w:val="en-US" w:eastAsia="zh-CN" w:bidi="ar-SA"/>
    </w:rPr>
  </w:style>
  <w:style w:type="paragraph" w:customStyle="1" w:styleId="294">
    <w:name w:val="Normal_6_0"/>
    <w:qFormat/>
    <w:uiPriority w:val="0"/>
    <w:rPr>
      <w:rFonts w:ascii="黑体" w:hAnsi="黑体" w:eastAsia="黑体" w:cs="黑体"/>
      <w:b/>
      <w:sz w:val="32"/>
      <w:szCs w:val="24"/>
      <w:lang w:val="en-US" w:eastAsia="zh-CN" w:bidi="ar-SA"/>
    </w:rPr>
  </w:style>
  <w:style w:type="paragraph" w:customStyle="1" w:styleId="295">
    <w:name w:val="正文_1_0_0"/>
    <w:qFormat/>
    <w:uiPriority w:val="0"/>
    <w:pPr>
      <w:widowControl w:val="0"/>
      <w:jc w:val="both"/>
    </w:pPr>
    <w:rPr>
      <w:rFonts w:ascii="Times New Roman" w:hAnsi="Times New Roman" w:eastAsia="宋体" w:cs="Times New Roman"/>
      <w:sz w:val="21"/>
      <w:lang w:val="en-US" w:eastAsia="zh-CN" w:bidi="ar-SA"/>
    </w:rPr>
  </w:style>
  <w:style w:type="paragraph" w:customStyle="1" w:styleId="296">
    <w:name w:val="正文_0_0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297">
    <w:name w:val="正文_1_0_0_0"/>
    <w:qFormat/>
    <w:uiPriority w:val="0"/>
    <w:pPr>
      <w:widowControl w:val="0"/>
      <w:jc w:val="both"/>
    </w:pPr>
    <w:rPr>
      <w:rFonts w:ascii="Times New Roman" w:hAnsi="Times New Roman" w:eastAsia="宋体" w:cs="Times New Roman"/>
      <w:sz w:val="21"/>
      <w:lang w:val="en-US" w:eastAsia="zh-CN" w:bidi="ar-SA"/>
    </w:rPr>
  </w:style>
  <w:style w:type="paragraph" w:customStyle="1" w:styleId="298">
    <w:name w:val="Normal_7_0"/>
    <w:qFormat/>
    <w:uiPriority w:val="0"/>
    <w:rPr>
      <w:rFonts w:ascii="黑体" w:hAnsi="黑体" w:eastAsia="黑体" w:cs="黑体"/>
      <w:b/>
      <w:sz w:val="32"/>
      <w:szCs w:val="24"/>
      <w:lang w:val="en-US" w:eastAsia="zh-CN" w:bidi="ar-SA"/>
    </w:rPr>
  </w:style>
  <w:style w:type="paragraph" w:customStyle="1" w:styleId="299">
    <w:name w:val="Normal_8_0"/>
    <w:qFormat/>
    <w:uiPriority w:val="0"/>
    <w:rPr>
      <w:rFonts w:ascii="Times New Roman" w:hAnsi="Times New Roman" w:eastAsia="Times New Roman" w:cs="Times New Roman"/>
      <w:sz w:val="24"/>
      <w:szCs w:val="24"/>
      <w:lang w:val="en-US" w:eastAsia="zh-CN" w:bidi="ar-SA"/>
    </w:rPr>
  </w:style>
  <w:style w:type="paragraph" w:customStyle="1" w:styleId="300">
    <w:name w:val="Normal_9_0"/>
    <w:qFormat/>
    <w:uiPriority w:val="0"/>
    <w:rPr>
      <w:rFonts w:ascii="Times New Roman" w:hAnsi="Times New Roman" w:eastAsia="Times New Roman" w:cs="Times New Roman"/>
      <w:sz w:val="24"/>
      <w:szCs w:val="24"/>
      <w:lang w:val="en-US" w:eastAsia="zh-CN" w:bidi="ar-SA"/>
    </w:rPr>
  </w:style>
  <w:style w:type="paragraph" w:customStyle="1" w:styleId="301">
    <w:name w:val="Normal_10_0"/>
    <w:qFormat/>
    <w:uiPriority w:val="0"/>
    <w:rPr>
      <w:rFonts w:ascii="黑体" w:hAnsi="黑体" w:eastAsia="黑体" w:cs="黑体"/>
      <w:b/>
      <w:sz w:val="32"/>
      <w:szCs w:val="24"/>
      <w:lang w:val="en-US" w:eastAsia="zh-CN" w:bidi="ar-SA"/>
    </w:rPr>
  </w:style>
  <w:style w:type="paragraph" w:customStyle="1" w:styleId="302">
    <w:name w:val="正文_3"/>
    <w:next w:val="303"/>
    <w:qFormat/>
    <w:uiPriority w:val="0"/>
    <w:pPr>
      <w:widowControl w:val="0"/>
      <w:jc w:val="both"/>
    </w:pPr>
    <w:rPr>
      <w:rFonts w:ascii="Calibri" w:hAnsi="Calibri" w:eastAsia="宋体" w:cs="Times New Roman"/>
      <w:sz w:val="21"/>
      <w:szCs w:val="22"/>
      <w:lang w:val="en-US" w:eastAsia="zh-CN" w:bidi="ar-SA"/>
    </w:rPr>
  </w:style>
  <w:style w:type="paragraph" w:customStyle="1" w:styleId="303">
    <w:name w:val="正文首行缩进 2_1"/>
    <w:basedOn w:val="304"/>
    <w:next w:val="306"/>
    <w:qFormat/>
    <w:uiPriority w:val="0"/>
    <w:pPr>
      <w:spacing w:after="120"/>
      <w:ind w:left="200" w:firstLine="200"/>
    </w:pPr>
    <w:rPr>
      <w:rFonts w:ascii="Times New Roman"/>
      <w:szCs w:val="24"/>
    </w:rPr>
  </w:style>
  <w:style w:type="paragraph" w:customStyle="1" w:styleId="304">
    <w:name w:val="正文文本缩进_1"/>
    <w:basedOn w:val="305"/>
    <w:next w:val="303"/>
    <w:qFormat/>
    <w:uiPriority w:val="0"/>
    <w:pPr>
      <w:ind w:firstLine="225"/>
    </w:pPr>
    <w:rPr>
      <w:rFonts w:ascii="仿宋_GB2312" w:eastAsia="仿宋_GB2312"/>
      <w:sz w:val="32"/>
    </w:rPr>
  </w:style>
  <w:style w:type="paragraph" w:customStyle="1" w:styleId="305">
    <w:name w:val="正文_18"/>
    <w:next w:val="304"/>
    <w:qFormat/>
    <w:uiPriority w:val="0"/>
    <w:pPr>
      <w:widowControl w:val="0"/>
      <w:jc w:val="both"/>
    </w:pPr>
    <w:rPr>
      <w:rFonts w:ascii="Calibri" w:hAnsi="Calibri" w:eastAsia="宋体" w:cs="Times New Roman"/>
      <w:sz w:val="21"/>
      <w:szCs w:val="22"/>
      <w:lang w:val="en-US" w:eastAsia="zh-CN" w:bidi="ar-SA"/>
    </w:rPr>
  </w:style>
  <w:style w:type="paragraph" w:customStyle="1" w:styleId="306">
    <w:name w:val="xl53_0"/>
    <w:next w:val="302"/>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paragraph" w:customStyle="1" w:styleId="307">
    <w:name w:val="正文_4_0"/>
    <w:qFormat/>
    <w:uiPriority w:val="0"/>
    <w:pPr>
      <w:widowControl w:val="0"/>
      <w:jc w:val="both"/>
    </w:pPr>
    <w:rPr>
      <w:rFonts w:ascii="Calibri" w:hAnsi="Calibri" w:eastAsia="宋体" w:cs="Times New Roman"/>
      <w:sz w:val="21"/>
      <w:szCs w:val="22"/>
      <w:lang w:val="en-US" w:eastAsia="zh-CN" w:bidi="ar-SA"/>
    </w:rPr>
  </w:style>
  <w:style w:type="paragraph" w:customStyle="1" w:styleId="308">
    <w:name w:val="Normal_11_0"/>
    <w:qFormat/>
    <w:uiPriority w:val="0"/>
    <w:rPr>
      <w:rFonts w:ascii="黑体" w:hAnsi="黑体" w:eastAsia="黑体" w:cs="黑体"/>
      <w:b/>
      <w:sz w:val="32"/>
      <w:szCs w:val="24"/>
      <w:lang w:val="en-US" w:eastAsia="zh-CN" w:bidi="ar-SA"/>
    </w:rPr>
  </w:style>
  <w:style w:type="paragraph" w:customStyle="1" w:styleId="309">
    <w:name w:val="Normal_12_0"/>
    <w:qFormat/>
    <w:uiPriority w:val="0"/>
    <w:pPr>
      <w:widowControl w:val="0"/>
      <w:jc w:val="both"/>
    </w:pPr>
    <w:rPr>
      <w:rFonts w:ascii="Calibri" w:hAnsi="Calibri" w:eastAsia="宋体" w:cs="Times New Roman"/>
      <w:sz w:val="21"/>
      <w:szCs w:val="22"/>
      <w:lang w:val="en-US" w:eastAsia="zh-CN" w:bidi="ar-SA"/>
    </w:rPr>
  </w:style>
  <w:style w:type="paragraph" w:customStyle="1" w:styleId="310">
    <w:name w:val="正文_9_0"/>
    <w:qFormat/>
    <w:uiPriority w:val="0"/>
    <w:pPr>
      <w:widowControl w:val="0"/>
      <w:jc w:val="both"/>
    </w:pPr>
    <w:rPr>
      <w:rFonts w:ascii="Calibri" w:hAnsi="Calibri" w:eastAsia="宋体" w:cs="Times New Roman"/>
      <w:sz w:val="21"/>
      <w:szCs w:val="22"/>
      <w:lang w:val="en-US" w:eastAsia="zh-CN" w:bidi="ar-SA"/>
    </w:rPr>
  </w:style>
  <w:style w:type="paragraph" w:customStyle="1" w:styleId="311">
    <w:name w:val="正文_8_1"/>
    <w:qFormat/>
    <w:uiPriority w:val="0"/>
    <w:pPr>
      <w:widowControl w:val="0"/>
      <w:jc w:val="both"/>
    </w:pPr>
    <w:rPr>
      <w:rFonts w:ascii="Calibri" w:hAnsi="Calibri" w:eastAsia="宋体" w:cs="Times New Roman"/>
      <w:sz w:val="21"/>
      <w:szCs w:val="22"/>
      <w:lang w:val="en-US" w:eastAsia="zh-CN" w:bidi="ar-SA"/>
    </w:rPr>
  </w:style>
  <w:style w:type="paragraph" w:customStyle="1" w:styleId="312">
    <w:name w:val="正文_1_0_0_0_0"/>
    <w:qFormat/>
    <w:uiPriority w:val="0"/>
    <w:pPr>
      <w:widowControl w:val="0"/>
      <w:jc w:val="both"/>
    </w:pPr>
    <w:rPr>
      <w:rFonts w:ascii="Times New Roman" w:hAnsi="Times New Roman" w:eastAsia="宋体" w:cs="Times New Roman"/>
      <w:sz w:val="21"/>
      <w:lang w:val="en-US" w:eastAsia="zh-CN" w:bidi="ar-SA"/>
    </w:rPr>
  </w:style>
  <w:style w:type="paragraph" w:customStyle="1" w:styleId="313">
    <w:name w:val="列出段落_2"/>
    <w:basedOn w:val="311"/>
    <w:qFormat/>
    <w:uiPriority w:val="34"/>
    <w:pPr>
      <w:ind w:firstLine="420"/>
    </w:pPr>
  </w:style>
  <w:style w:type="paragraph" w:customStyle="1" w:styleId="314">
    <w:name w:val="Normal_13_0"/>
    <w:qFormat/>
    <w:uiPriority w:val="0"/>
    <w:rPr>
      <w:rFonts w:ascii="黑体" w:hAnsi="黑体" w:eastAsia="黑体" w:cs="黑体"/>
      <w:b/>
      <w:sz w:val="32"/>
      <w:szCs w:val="24"/>
      <w:lang w:val="en-US" w:eastAsia="zh-CN" w:bidi="ar-SA"/>
    </w:rPr>
  </w:style>
  <w:style w:type="paragraph" w:customStyle="1" w:styleId="315">
    <w:name w:val="正文_7_1_0"/>
    <w:qFormat/>
    <w:uiPriority w:val="0"/>
    <w:pPr>
      <w:widowControl w:val="0"/>
      <w:jc w:val="both"/>
    </w:pPr>
    <w:rPr>
      <w:rFonts w:ascii="Calibri" w:hAnsi="Calibri" w:eastAsia="宋体" w:cs="Times New Roman"/>
      <w:sz w:val="21"/>
      <w:szCs w:val="22"/>
      <w:lang w:val="en-US" w:eastAsia="zh-CN" w:bidi="ar-SA"/>
    </w:rPr>
  </w:style>
  <w:style w:type="paragraph" w:customStyle="1" w:styleId="316">
    <w:name w:val="纯文本_0_0"/>
    <w:basedOn w:val="315"/>
    <w:unhideWhenUsed/>
    <w:qFormat/>
    <w:uiPriority w:val="0"/>
    <w:rPr>
      <w:rFonts w:ascii="宋体" w:hAnsi="Courier New"/>
      <w:szCs w:val="21"/>
    </w:rPr>
  </w:style>
  <w:style w:type="paragraph" w:customStyle="1" w:styleId="317">
    <w:name w:val="正文_8_0"/>
    <w:qFormat/>
    <w:uiPriority w:val="0"/>
    <w:pPr>
      <w:widowControl w:val="0"/>
      <w:jc w:val="both"/>
    </w:pPr>
    <w:rPr>
      <w:rFonts w:ascii="Calibri" w:hAnsi="Calibri" w:eastAsia="宋体" w:cs="Times New Roman"/>
      <w:sz w:val="21"/>
      <w:szCs w:val="22"/>
      <w:lang w:val="en-US" w:eastAsia="zh-CN" w:bidi="ar-SA"/>
    </w:rPr>
  </w:style>
  <w:style w:type="paragraph" w:customStyle="1" w:styleId="318">
    <w:name w:val="Normal_14_0"/>
    <w:qFormat/>
    <w:uiPriority w:val="0"/>
    <w:rPr>
      <w:rFonts w:ascii="黑体" w:hAnsi="黑体" w:eastAsia="黑体" w:cs="黑体"/>
      <w:b/>
      <w:sz w:val="32"/>
      <w:szCs w:val="24"/>
      <w:lang w:val="en-US" w:eastAsia="zh-CN" w:bidi="ar-SA"/>
    </w:rPr>
  </w:style>
  <w:style w:type="paragraph" w:customStyle="1" w:styleId="319">
    <w:name w:val="正文_6_0"/>
    <w:qFormat/>
    <w:uiPriority w:val="0"/>
    <w:pPr>
      <w:widowControl w:val="0"/>
      <w:jc w:val="both"/>
    </w:pPr>
    <w:rPr>
      <w:rFonts w:ascii="Calibri" w:hAnsi="Calibri" w:eastAsia="宋体" w:cs="Times New Roman"/>
      <w:sz w:val="21"/>
      <w:szCs w:val="22"/>
      <w:lang w:val="en-US" w:eastAsia="zh-CN" w:bidi="ar-SA"/>
    </w:rPr>
  </w:style>
  <w:style w:type="paragraph" w:customStyle="1" w:styleId="320">
    <w:name w:val="Normal_15_0"/>
    <w:qFormat/>
    <w:uiPriority w:val="0"/>
    <w:rPr>
      <w:rFonts w:ascii="黑体" w:hAnsi="黑体" w:eastAsia="黑体" w:cs="黑体"/>
      <w:b/>
      <w:sz w:val="32"/>
      <w:szCs w:val="24"/>
      <w:lang w:val="en-US" w:eastAsia="zh-CN" w:bidi="ar-SA"/>
    </w:rPr>
  </w:style>
  <w:style w:type="paragraph" w:customStyle="1" w:styleId="321">
    <w:name w:val="正文_7_0"/>
    <w:qFormat/>
    <w:uiPriority w:val="0"/>
    <w:pPr>
      <w:widowControl w:val="0"/>
      <w:jc w:val="both"/>
    </w:pPr>
    <w:rPr>
      <w:rFonts w:ascii="Calibri" w:hAnsi="Calibri" w:eastAsia="宋体" w:cs="Times New Roman"/>
      <w:sz w:val="21"/>
      <w:szCs w:val="22"/>
      <w:lang w:val="en-US" w:eastAsia="zh-CN" w:bidi="ar-SA"/>
    </w:rPr>
  </w:style>
  <w:style w:type="paragraph" w:customStyle="1" w:styleId="322">
    <w:name w:val="正文_9_1"/>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23">
    <w:name w:val="Normal_16_0"/>
    <w:qFormat/>
    <w:uiPriority w:val="0"/>
    <w:rPr>
      <w:rFonts w:ascii="黑体" w:hAnsi="黑体" w:eastAsia="黑体" w:cs="黑体"/>
      <w:b/>
      <w:sz w:val="32"/>
      <w:szCs w:val="24"/>
      <w:lang w:val="en-US" w:eastAsia="zh-CN" w:bidi="ar-SA"/>
    </w:rPr>
  </w:style>
  <w:style w:type="paragraph" w:customStyle="1" w:styleId="324">
    <w:name w:val="正文_1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25">
    <w:name w:val="Normal_17_0"/>
    <w:qFormat/>
    <w:uiPriority w:val="0"/>
    <w:rPr>
      <w:rFonts w:ascii="黑体" w:hAnsi="黑体" w:eastAsia="黑体" w:cs="黑体"/>
      <w:b/>
      <w:sz w:val="32"/>
      <w:szCs w:val="24"/>
      <w:lang w:val="en-US" w:eastAsia="zh-CN" w:bidi="ar-SA"/>
    </w:rPr>
  </w:style>
  <w:style w:type="paragraph" w:customStyle="1" w:styleId="326">
    <w:name w:val="正文_10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27">
    <w:name w:val="Normal_18_0"/>
    <w:qFormat/>
    <w:uiPriority w:val="0"/>
    <w:rPr>
      <w:rFonts w:ascii="黑体" w:hAnsi="黑体" w:eastAsia="黑体" w:cs="黑体"/>
      <w:b/>
      <w:sz w:val="32"/>
      <w:szCs w:val="24"/>
      <w:lang w:val="en-US" w:eastAsia="zh-CN" w:bidi="ar-SA"/>
    </w:rPr>
  </w:style>
  <w:style w:type="paragraph" w:customStyle="1" w:styleId="328">
    <w:name w:val="正文_12_0"/>
    <w:qFormat/>
    <w:uiPriority w:val="0"/>
    <w:pPr>
      <w:widowControl w:val="0"/>
      <w:jc w:val="both"/>
    </w:pPr>
    <w:rPr>
      <w:rFonts w:ascii="Calibri" w:hAnsi="Calibri" w:eastAsia="宋体" w:cs="Times New Roman"/>
      <w:sz w:val="21"/>
      <w:szCs w:val="22"/>
      <w:lang w:val="en-US" w:eastAsia="zh-CN" w:bidi="ar-SA"/>
    </w:rPr>
  </w:style>
  <w:style w:type="paragraph" w:customStyle="1" w:styleId="329">
    <w:name w:val="正文_9_1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0">
    <w:name w:val="Normal_14_0_0"/>
    <w:qFormat/>
    <w:uiPriority w:val="0"/>
    <w:rPr>
      <w:rFonts w:ascii="黑体" w:hAnsi="黑体" w:eastAsia="黑体" w:cs="Times New Roman"/>
      <w:b/>
      <w:sz w:val="32"/>
      <w:szCs w:val="24"/>
      <w:lang w:val="en-US" w:eastAsia="zh-CN" w:bidi="ar-SA"/>
    </w:rPr>
  </w:style>
  <w:style w:type="paragraph" w:customStyle="1" w:styleId="331">
    <w:name w:val="正文_12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2">
    <w:name w:val="正文_12_0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3">
    <w:name w:val="正文_13_0"/>
    <w:qFormat/>
    <w:uiPriority w:val="0"/>
    <w:pPr>
      <w:widowControl w:val="0"/>
      <w:jc w:val="both"/>
    </w:pPr>
    <w:rPr>
      <w:rFonts w:ascii="Calibri" w:hAnsi="Calibri" w:eastAsia="宋体" w:cs="Times New Roman"/>
      <w:sz w:val="21"/>
      <w:szCs w:val="22"/>
      <w:lang w:val="en-US" w:eastAsia="zh-CN" w:bidi="ar-SA"/>
    </w:rPr>
  </w:style>
  <w:style w:type="paragraph" w:customStyle="1" w:styleId="334">
    <w:name w:val="正文_13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5">
    <w:name w:val="正文_14_0"/>
    <w:qFormat/>
    <w:uiPriority w:val="0"/>
    <w:pPr>
      <w:widowControl w:val="0"/>
      <w:jc w:val="both"/>
    </w:pPr>
    <w:rPr>
      <w:rFonts w:ascii="Calibri" w:hAnsi="Calibri" w:eastAsia="宋体" w:cs="Times New Roman"/>
      <w:sz w:val="21"/>
      <w:szCs w:val="22"/>
      <w:lang w:val="en-US" w:eastAsia="zh-CN" w:bidi="ar-SA"/>
    </w:rPr>
  </w:style>
  <w:style w:type="paragraph" w:customStyle="1" w:styleId="336">
    <w:name w:val="正文_14_0_0"/>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37">
    <w:name w:val="Normal Indent_0"/>
    <w:basedOn w:val="96"/>
    <w:qFormat/>
    <w:uiPriority w:val="0"/>
    <w:pPr>
      <w:ind w:firstLine="420"/>
    </w:pPr>
    <w:rPr>
      <w:rFonts w:ascii="宋体" w:eastAsia="Times New Roman"/>
      <w:color w:val="000000"/>
      <w:sz w:val="24"/>
      <w:szCs w:val="20"/>
    </w:rPr>
  </w:style>
  <w:style w:type="paragraph" w:customStyle="1" w:styleId="338">
    <w:name w:val="Heading 3_0"/>
    <w:basedOn w:val="96"/>
    <w:next w:val="96"/>
    <w:qFormat/>
    <w:uiPriority w:val="0"/>
    <w:pPr>
      <w:keepNext/>
      <w:keepLines/>
      <w:spacing w:before="260" w:after="260" w:line="413" w:lineRule="auto"/>
      <w:outlineLvl w:val="2"/>
    </w:pPr>
    <w:rPr>
      <w:rFonts w:ascii="Times New Roman" w:hAnsi="Times New Roman" w:eastAsia="Times New Roman"/>
      <w:szCs w:val="20"/>
    </w:rPr>
  </w:style>
  <w:style w:type="paragraph" w:customStyle="1" w:styleId="339">
    <w:name w:val="正文_15_0"/>
    <w:qFormat/>
    <w:uiPriority w:val="0"/>
    <w:pPr>
      <w:widowControl w:val="0"/>
      <w:jc w:val="both"/>
    </w:pPr>
    <w:rPr>
      <w:rFonts w:ascii="Calibri" w:hAnsi="Calibri" w:eastAsia="宋体" w:cs="Times New Roman"/>
      <w:sz w:val="21"/>
      <w:szCs w:val="22"/>
      <w:lang w:val="en-US" w:eastAsia="zh-CN" w:bidi="ar-SA"/>
    </w:rPr>
  </w:style>
  <w:style w:type="paragraph" w:customStyle="1" w:styleId="340">
    <w:name w:val="正文2"/>
    <w:basedOn w:val="1"/>
    <w:qFormat/>
    <w:uiPriority w:val="0"/>
    <w:pPr>
      <w:spacing w:before="156" w:line="360" w:lineRule="auto"/>
      <w:ind w:firstLine="510"/>
    </w:pPr>
    <w:rPr>
      <w:sz w:val="24"/>
      <w:szCs w:val="20"/>
    </w:rPr>
  </w:style>
  <w:style w:type="paragraph" w:customStyle="1" w:styleId="341">
    <w:name w:val="Default"/>
    <w:qFormat/>
    <w:uiPriority w:val="0"/>
    <w:pPr>
      <w:widowControl w:val="0"/>
    </w:pPr>
    <w:rPr>
      <w:rFonts w:ascii="宋体" w:hAnsi="Times New Roman" w:eastAsia="宋体" w:cs="宋体"/>
      <w:color w:val="000000"/>
      <w:sz w:val="24"/>
      <w:szCs w:val="24"/>
      <w:lang w:val="en-US" w:eastAsia="zh-CN" w:bidi="ar-SA"/>
    </w:rPr>
  </w:style>
  <w:style w:type="paragraph" w:customStyle="1" w:styleId="342">
    <w:name w:val="正文_0_2_0"/>
    <w:qFormat/>
    <w:uiPriority w:val="0"/>
    <w:pPr>
      <w:widowControl w:val="0"/>
      <w:jc w:val="both"/>
    </w:pPr>
    <w:rPr>
      <w:rFonts w:ascii="Times New Roman" w:hAnsi="Times New Roman" w:eastAsia="宋体" w:cs="Times New Roman"/>
      <w:szCs w:val="24"/>
      <w:lang w:val="en-US" w:eastAsia="zh-CN" w:bidi="ar-SA"/>
    </w:rPr>
  </w:style>
  <w:style w:type="paragraph" w:customStyle="1" w:styleId="343">
    <w:name w:val="Normal_19_1_0"/>
    <w:next w:val="344"/>
    <w:qFormat/>
    <w:uiPriority w:val="0"/>
    <w:pPr>
      <w:widowControl w:val="0"/>
      <w:jc w:val="both"/>
    </w:pPr>
    <w:rPr>
      <w:rFonts w:ascii="Calibri" w:hAnsi="Calibri" w:eastAsia="宋体" w:cs="Times New Roman"/>
      <w:szCs w:val="24"/>
      <w:lang w:val="en-US" w:eastAsia="zh-CN" w:bidi="ar-SA"/>
    </w:rPr>
  </w:style>
  <w:style w:type="paragraph" w:customStyle="1" w:styleId="344">
    <w:name w:val="正文_16_0"/>
    <w:basedOn w:val="305"/>
    <w:next w:val="303"/>
    <w:qFormat/>
    <w:uiPriority w:val="0"/>
    <w:rPr>
      <w:rFonts w:ascii="Times New Roman" w:hAnsi="Times New Roman"/>
    </w:rPr>
  </w:style>
  <w:style w:type="paragraph" w:customStyle="1" w:styleId="345">
    <w:name w:val="Normal_19_0"/>
    <w:basedOn w:val="6"/>
    <w:next w:val="346"/>
    <w:qFormat/>
    <w:uiPriority w:val="0"/>
    <w:rPr>
      <w:szCs w:val="24"/>
    </w:rPr>
  </w:style>
  <w:style w:type="paragraph" w:customStyle="1" w:styleId="346">
    <w:name w:val="Body Text First Indent_1_0"/>
    <w:basedOn w:val="345"/>
    <w:qFormat/>
    <w:uiPriority w:val="0"/>
    <w:pPr>
      <w:spacing w:after="120"/>
      <w:ind w:firstLine="100" w:firstLineChars="100"/>
    </w:pPr>
  </w:style>
  <w:style w:type="paragraph" w:customStyle="1" w:styleId="347">
    <w:name w:val="Body Text_0"/>
    <w:basedOn w:val="345"/>
    <w:qFormat/>
    <w:uiPriority w:val="0"/>
    <w:pPr>
      <w:spacing w:line="60" w:lineRule="auto"/>
    </w:pPr>
    <w:rPr>
      <w:rFonts w:ascii="仿宋_GB2312" w:eastAsia="仿宋_GB2312"/>
      <w:sz w:val="32"/>
    </w:rPr>
  </w:style>
  <w:style w:type="paragraph" w:customStyle="1" w:styleId="348">
    <w:name w:val="Normal_19_1"/>
    <w:next w:val="96"/>
    <w:qFormat/>
    <w:uiPriority w:val="0"/>
    <w:pPr>
      <w:widowControl w:val="0"/>
      <w:jc w:val="both"/>
    </w:pPr>
    <w:rPr>
      <w:rFonts w:ascii="Calibri" w:hAnsi="Calibri" w:eastAsia="宋体" w:cs="Times New Roman"/>
      <w:szCs w:val="24"/>
      <w:lang w:val="en-US" w:eastAsia="zh-CN" w:bidi="ar-SA"/>
    </w:rPr>
  </w:style>
  <w:style w:type="paragraph" w:customStyle="1" w:styleId="349">
    <w:name w:val="正文_6_0_0"/>
    <w:qFormat/>
    <w:uiPriority w:val="0"/>
    <w:pPr>
      <w:widowControl w:val="0"/>
      <w:jc w:val="both"/>
    </w:pPr>
    <w:rPr>
      <w:rFonts w:ascii="Calibri" w:hAnsi="Calibri" w:eastAsia="宋体" w:cs="Times New Roman"/>
      <w:lang w:val="en-US" w:eastAsia="zh-CN" w:bidi="ar-SA"/>
    </w:rPr>
  </w:style>
  <w:style w:type="paragraph" w:customStyle="1" w:styleId="350">
    <w:name w:val="正文_7_1"/>
    <w:qFormat/>
    <w:uiPriority w:val="0"/>
    <w:pPr>
      <w:widowControl w:val="0"/>
      <w:jc w:val="both"/>
    </w:pPr>
    <w:rPr>
      <w:rFonts w:ascii="Calibri" w:hAnsi="Calibri" w:eastAsia="宋体" w:cs="Times New Roman"/>
      <w:lang w:val="en-US" w:eastAsia="zh-CN" w:bidi="ar-SA"/>
    </w:rPr>
  </w:style>
  <w:style w:type="paragraph" w:customStyle="1" w:styleId="351">
    <w:name w:val="正文1_1"/>
    <w:basedOn w:val="299"/>
    <w:qFormat/>
    <w:uiPriority w:val="0"/>
    <w:pPr>
      <w:widowControl w:val="0"/>
      <w:jc w:val="both"/>
    </w:pPr>
    <w:rPr>
      <w:sz w:val="20"/>
      <w:szCs w:val="20"/>
    </w:rPr>
  </w:style>
  <w:style w:type="paragraph" w:customStyle="1" w:styleId="352">
    <w:name w:val="Normal_8_0_0"/>
    <w:qFormat/>
    <w:uiPriority w:val="0"/>
    <w:rPr>
      <w:rFonts w:ascii="Times New Roman" w:hAnsi="Times New Roman" w:eastAsia="Times New Roman" w:cs="Times New Roman"/>
      <w:sz w:val="24"/>
      <w:szCs w:val="24"/>
      <w:lang w:val="en-US" w:eastAsia="zh-CN" w:bidi="ar-SA"/>
    </w:rPr>
  </w:style>
  <w:style w:type="paragraph" w:customStyle="1" w:styleId="353">
    <w:name w:val="Normal_8_0_0_0"/>
    <w:qFormat/>
    <w:uiPriority w:val="0"/>
    <w:pPr>
      <w:widowControl w:val="0"/>
      <w:jc w:val="both"/>
    </w:pPr>
    <w:rPr>
      <w:rFonts w:ascii="Calibri" w:hAnsi="Calibri" w:eastAsia="宋体" w:cs="Times New Roman"/>
      <w:lang w:val="en-US" w:eastAsia="zh-CN" w:bidi="ar-SA"/>
    </w:rPr>
  </w:style>
  <w:style w:type="paragraph" w:customStyle="1" w:styleId="354">
    <w:name w:val="Normal_16_1"/>
    <w:qFormat/>
    <w:uiPriority w:val="0"/>
    <w:rPr>
      <w:rFonts w:ascii="黑体" w:hAnsi="黑体" w:eastAsia="黑体" w:cs="Times New Roman"/>
      <w:b/>
      <w:sz w:val="32"/>
      <w:szCs w:val="24"/>
      <w:lang w:val="en-US" w:eastAsia="zh-CN" w:bidi="ar-SA"/>
    </w:rPr>
  </w:style>
  <w:style w:type="paragraph" w:customStyle="1" w:styleId="355">
    <w:name w:val="Normal_19_0_1"/>
    <w:qFormat/>
    <w:uiPriority w:val="0"/>
    <w:rPr>
      <w:rFonts w:ascii="Tahoma" w:hAnsi="Tahoma" w:eastAsia="微软雅黑" w:cs="Times New Roman"/>
      <w:lang w:val="en-US" w:eastAsia="zh-CN" w:bidi="ar-SA"/>
    </w:rPr>
  </w:style>
  <w:style w:type="paragraph" w:customStyle="1" w:styleId="356">
    <w:name w:val="Normal_16_0_0"/>
    <w:qFormat/>
    <w:uiPriority w:val="0"/>
    <w:pPr>
      <w:widowControl w:val="0"/>
      <w:jc w:val="both"/>
    </w:pPr>
    <w:rPr>
      <w:rFonts w:ascii="Calibri" w:hAnsi="Calibri" w:eastAsia="宋体" w:cs="Times New Roman"/>
      <w:lang w:val="en-US" w:eastAsia="zh-CN" w:bidi="ar-SA"/>
    </w:rPr>
  </w:style>
  <w:style w:type="paragraph" w:customStyle="1" w:styleId="357">
    <w:name w:val="Normal_22_0"/>
    <w:qFormat/>
    <w:uiPriority w:val="0"/>
    <w:pPr>
      <w:widowControl w:val="0"/>
      <w:jc w:val="both"/>
    </w:pPr>
    <w:rPr>
      <w:rFonts w:ascii="Calibri" w:hAnsi="Calibri" w:eastAsia="宋体" w:cs="Times New Roman"/>
      <w:szCs w:val="24"/>
      <w:lang w:val="en-US" w:eastAsia="zh-CN" w:bidi="ar-SA"/>
    </w:rPr>
  </w:style>
  <w:style w:type="paragraph" w:customStyle="1" w:styleId="358">
    <w:name w:val="Normal_17_0_0"/>
    <w:qFormat/>
    <w:uiPriority w:val="0"/>
    <w:rPr>
      <w:rFonts w:ascii="黑体" w:hAnsi="黑体" w:eastAsia="黑体" w:cs="Times New Roman"/>
      <w:b/>
      <w:sz w:val="32"/>
      <w:szCs w:val="24"/>
      <w:lang w:val="en-US" w:eastAsia="zh-CN" w:bidi="ar-SA"/>
    </w:rPr>
  </w:style>
  <w:style w:type="paragraph" w:customStyle="1" w:styleId="359">
    <w:name w:val="Normal_19_0_1_0"/>
    <w:qFormat/>
    <w:uiPriority w:val="0"/>
    <w:rPr>
      <w:rFonts w:ascii="Tahoma" w:hAnsi="Tahoma" w:eastAsia="微软雅黑" w:cs="Times New Roman"/>
      <w:lang w:val="en-US" w:eastAsia="zh-CN" w:bidi="ar-SA"/>
    </w:rPr>
  </w:style>
  <w:style w:type="paragraph" w:customStyle="1" w:styleId="360">
    <w:name w:val="Normal_19_3"/>
    <w:next w:val="361"/>
    <w:qFormat/>
    <w:uiPriority w:val="0"/>
    <w:pPr>
      <w:widowControl w:val="0"/>
      <w:jc w:val="both"/>
    </w:pPr>
    <w:rPr>
      <w:rFonts w:ascii="Calibri" w:hAnsi="Calibri" w:eastAsia="Times New Roman" w:cs="Times New Roman"/>
      <w:szCs w:val="24"/>
      <w:lang w:val="en-US" w:eastAsia="zh-CN" w:bidi="ar-SA"/>
    </w:rPr>
  </w:style>
  <w:style w:type="paragraph" w:customStyle="1" w:styleId="361">
    <w:name w:val="正文_17_0"/>
    <w:qFormat/>
    <w:uiPriority w:val="0"/>
    <w:pPr>
      <w:widowControl w:val="0"/>
      <w:jc w:val="both"/>
    </w:pPr>
    <w:rPr>
      <w:rFonts w:ascii="Calibri" w:hAnsi="Calibri" w:eastAsia="宋体" w:cs="Times New Roman"/>
      <w:sz w:val="21"/>
      <w:szCs w:val="22"/>
      <w:lang w:val="en-US" w:eastAsia="zh-CN" w:bidi="ar-SA"/>
    </w:rPr>
  </w:style>
  <w:style w:type="paragraph" w:customStyle="1" w:styleId="362">
    <w:name w:val="Normal_22_0_0"/>
    <w:qFormat/>
    <w:uiPriority w:val="0"/>
    <w:pPr>
      <w:widowControl w:val="0"/>
      <w:jc w:val="both"/>
    </w:pPr>
    <w:rPr>
      <w:rFonts w:ascii="Calibri" w:hAnsi="Calibri" w:eastAsia="宋体" w:cs="Times New Roman"/>
      <w:szCs w:val="24"/>
      <w:lang w:val="en-US" w:eastAsia="zh-CN" w:bidi="ar-SA"/>
    </w:rPr>
  </w:style>
  <w:style w:type="character" w:customStyle="1" w:styleId="363">
    <w:name w:val="custom-tag-placeholder-class"/>
    <w:qFormat/>
    <w:uiPriority w:val="0"/>
  </w:style>
  <w:style w:type="paragraph" w:customStyle="1" w:styleId="364">
    <w:name w:val="Normal_19_0_0"/>
    <w:basedOn w:val="96"/>
    <w:next w:val="365"/>
    <w:qFormat/>
    <w:uiPriority w:val="0"/>
    <w:rPr>
      <w:rFonts w:ascii="Calibri" w:hAnsi="Calibri" w:eastAsia="Times New Roman"/>
      <w:sz w:val="24"/>
    </w:rPr>
  </w:style>
  <w:style w:type="paragraph" w:customStyle="1" w:styleId="365">
    <w:name w:val="Body Text First Indent_1_0_0"/>
    <w:basedOn w:val="364"/>
    <w:qFormat/>
    <w:uiPriority w:val="0"/>
    <w:pPr>
      <w:spacing w:after="120"/>
      <w:ind w:firstLine="100" w:firstLineChars="100"/>
    </w:pPr>
    <w:rPr>
      <w:rFonts w:eastAsia="Times New Roman"/>
    </w:rPr>
  </w:style>
  <w:style w:type="paragraph" w:customStyle="1" w:styleId="366">
    <w:name w:val="正文首行缩进1"/>
    <w:basedOn w:val="367"/>
    <w:qFormat/>
    <w:uiPriority w:val="0"/>
    <w:pPr>
      <w:spacing w:after="120" w:line="240" w:lineRule="auto"/>
      <w:ind w:firstLine="100"/>
    </w:pPr>
    <w:rPr>
      <w:rFonts w:ascii="Times New Roman" w:hAnsi="Times New Roman" w:eastAsia="宋体"/>
      <w:sz w:val="21"/>
    </w:rPr>
  </w:style>
  <w:style w:type="paragraph" w:customStyle="1" w:styleId="367">
    <w:name w:val="正文文本1"/>
    <w:basedOn w:val="1"/>
    <w:qFormat/>
    <w:uiPriority w:val="0"/>
    <w:pPr>
      <w:spacing w:line="60" w:lineRule="auto"/>
    </w:pPr>
    <w:rPr>
      <w:rFonts w:ascii="仿宋_GB2312" w:eastAsia="仿宋_GB2312"/>
      <w:sz w:val="32"/>
    </w:rPr>
  </w:style>
  <w:style w:type="paragraph" w:customStyle="1" w:styleId="368">
    <w:name w:val="正文_2_0"/>
    <w:qFormat/>
    <w:uiPriority w:val="0"/>
    <w:pPr>
      <w:widowControl w:val="0"/>
      <w:jc w:val="both"/>
    </w:pPr>
    <w:rPr>
      <w:rFonts w:ascii="Calibri" w:hAnsi="Calibri" w:eastAsia="宋体" w:cs="Times New Roman"/>
      <w:sz w:val="21"/>
      <w:szCs w:val="22"/>
      <w:lang w:val="en-US" w:eastAsia="zh-CN" w:bidi="ar-SA"/>
    </w:rPr>
  </w:style>
  <w:style w:type="paragraph" w:customStyle="1" w:styleId="369">
    <w:name w:val="List Paragraph_0"/>
    <w:basedOn w:val="279"/>
    <w:qFormat/>
    <w:uiPriority w:val="0"/>
    <w:pPr>
      <w:ind w:firstLine="420"/>
    </w:pPr>
  </w:style>
  <w:style w:type="paragraph" w:customStyle="1" w:styleId="370">
    <w:name w:val="纯文本_1"/>
    <w:basedOn w:val="368"/>
    <w:qFormat/>
    <w:uiPriority w:val="0"/>
    <w:rPr>
      <w:rFonts w:ascii="宋体" w:hAnsi="Times New Roman"/>
      <w:sz w:val="20"/>
      <w:szCs w:val="21"/>
    </w:rPr>
  </w:style>
  <w:style w:type="paragraph" w:customStyle="1" w:styleId="371">
    <w:name w:val="正文_16_0_0"/>
    <w:next w:val="141"/>
    <w:qFormat/>
    <w:uiPriority w:val="0"/>
    <w:pPr>
      <w:widowControl w:val="0"/>
      <w:jc w:val="both"/>
    </w:pPr>
    <w:rPr>
      <w:rFonts w:ascii="Calibri" w:hAnsi="Calibri" w:eastAsia="宋体" w:cs="Times New Roman"/>
      <w:sz w:val="21"/>
      <w:szCs w:val="22"/>
      <w:lang w:val="en-US" w:eastAsia="zh-CN" w:bidi="ar-SA"/>
    </w:rPr>
  </w:style>
  <w:style w:type="paragraph" w:customStyle="1" w:styleId="372">
    <w:name w:val="正文_11_0"/>
    <w:basedOn w:val="141"/>
    <w:qFormat/>
    <w:uiPriority w:val="0"/>
    <w:rPr>
      <w:rFonts w:ascii="Calibri" w:hAnsi="Calibri"/>
      <w:szCs w:val="20"/>
    </w:rPr>
  </w:style>
  <w:style w:type="paragraph" w:customStyle="1" w:styleId="373">
    <w:name w:val="Normal_19_0_0_0"/>
    <w:basedOn w:val="6"/>
    <w:qFormat/>
    <w:uiPriority w:val="0"/>
    <w:rPr>
      <w:rFonts w:cs="黑体"/>
      <w:szCs w:val="24"/>
    </w:rPr>
  </w:style>
  <w:style w:type="paragraph" w:customStyle="1" w:styleId="374">
    <w:name w:val="无间隔1"/>
    <w:basedOn w:val="285"/>
    <w:qFormat/>
    <w:uiPriority w:val="0"/>
    <w:rPr>
      <w:rFonts w:ascii="Calibri" w:hAnsi="Calibri" w:cs="Calibri"/>
    </w:rPr>
  </w:style>
  <w:style w:type="paragraph" w:customStyle="1" w:styleId="375">
    <w:name w:val="标题 31"/>
    <w:basedOn w:val="285"/>
    <w:next w:val="285"/>
    <w:qFormat/>
    <w:uiPriority w:val="0"/>
    <w:pPr>
      <w:keepNext/>
      <w:keepLines/>
      <w:spacing w:before="260" w:after="260" w:line="413" w:lineRule="auto"/>
      <w:outlineLvl w:val="2"/>
    </w:pPr>
    <w:rPr>
      <w:b/>
      <w:sz w:val="32"/>
      <w:szCs w:val="20"/>
    </w:rPr>
  </w:style>
  <w:style w:type="character" w:customStyle="1" w:styleId="376">
    <w:name w:val="标题 2 Char_0"/>
    <w:link w:val="377"/>
    <w:qFormat/>
    <w:uiPriority w:val="0"/>
    <w:rPr>
      <w:rFonts w:ascii="Arial" w:hAnsi="Arial" w:eastAsia="黑体"/>
      <w:b/>
      <w:sz w:val="32"/>
      <w:szCs w:val="22"/>
    </w:rPr>
  </w:style>
  <w:style w:type="paragraph" w:customStyle="1" w:styleId="377">
    <w:name w:val="标题 21"/>
    <w:basedOn w:val="7"/>
    <w:next w:val="7"/>
    <w:link w:val="376"/>
    <w:unhideWhenUsed/>
    <w:qFormat/>
    <w:uiPriority w:val="0"/>
    <w:pPr>
      <w:keepNext/>
      <w:keepLines/>
      <w:spacing w:before="260" w:after="260" w:line="413" w:lineRule="auto"/>
      <w:outlineLvl w:val="1"/>
    </w:pPr>
    <w:rPr>
      <w:rFonts w:ascii="Arial" w:hAnsi="Arial"/>
      <w:szCs w:val="22"/>
    </w:rPr>
  </w:style>
  <w:style w:type="paragraph" w:customStyle="1" w:styleId="378">
    <w:name w:val="Normal_19_1_0_0"/>
    <w:next w:val="379"/>
    <w:qFormat/>
    <w:uiPriority w:val="0"/>
    <w:pPr>
      <w:widowControl w:val="0"/>
      <w:jc w:val="both"/>
    </w:pPr>
    <w:rPr>
      <w:rFonts w:ascii="Calibri" w:hAnsi="Calibri" w:eastAsia="宋体" w:cs="Times New Roman"/>
      <w:sz w:val="21"/>
      <w:szCs w:val="24"/>
      <w:lang w:val="en-US" w:eastAsia="zh-CN" w:bidi="ar-SA"/>
    </w:rPr>
  </w:style>
  <w:style w:type="paragraph" w:customStyle="1" w:styleId="379">
    <w:name w:val="正文_16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380">
    <w:name w:val="正文1_0_0"/>
    <w:basedOn w:val="7"/>
    <w:qFormat/>
    <w:uiPriority w:val="0"/>
    <w:pPr>
      <w:spacing w:line="360" w:lineRule="auto"/>
      <w:ind w:left="357" w:firstLine="420"/>
    </w:pPr>
    <w:rPr>
      <w:rFonts w:eastAsia="Times New Roman" w:cs="Arial"/>
    </w:rPr>
  </w:style>
  <w:style w:type="paragraph" w:customStyle="1" w:styleId="381">
    <w:name w:val="普通正文"/>
    <w:basedOn w:val="1"/>
    <w:qFormat/>
    <w:uiPriority w:val="0"/>
    <w:pPr>
      <w:spacing w:before="120" w:after="120" w:line="360" w:lineRule="auto"/>
      <w:ind w:firstLine="480"/>
      <w:jc w:val="left"/>
    </w:pPr>
    <w:rPr>
      <w:rFonts w:ascii="Arial" w:hAnsi="Arial"/>
      <w:sz w:val="24"/>
      <w:szCs w:val="24"/>
    </w:rPr>
  </w:style>
  <w:style w:type="paragraph" w:customStyle="1" w:styleId="382">
    <w:name w:val="正文空2字"/>
    <w:basedOn w:val="383"/>
    <w:qFormat/>
    <w:uiPriority w:val="99"/>
    <w:pPr>
      <w:widowControl w:val="0"/>
      <w:spacing w:line="560" w:lineRule="exact"/>
      <w:ind w:firstLine="640"/>
    </w:pPr>
    <w:rPr>
      <w:rFonts w:ascii="仿宋_GB2312" w:hAnsi="仿宋_GB2312" w:cs="仿宋_GB2312"/>
      <w:lang w:val="zh-TW"/>
    </w:rPr>
  </w:style>
  <w:style w:type="paragraph" w:customStyle="1" w:styleId="383">
    <w:name w:val="左对齐正文"/>
    <w:qFormat/>
    <w:uiPriority w:val="99"/>
    <w:rPr>
      <w:rFonts w:ascii="Calibri" w:hAnsi="Calibri" w:eastAsia="仿宋_GB2312" w:cs="Calibri"/>
      <w:sz w:val="32"/>
      <w:szCs w:val="32"/>
      <w:lang w:val="en-US" w:eastAsia="zh-CN" w:bidi="ar-SA"/>
    </w:rPr>
  </w:style>
  <w:style w:type="paragraph" w:customStyle="1" w:styleId="384">
    <w:name w:val="普通(网站)1"/>
    <w:basedOn w:val="1"/>
    <w:qFormat/>
    <w:uiPriority w:val="0"/>
    <w:rPr>
      <w:sz w:val="24"/>
    </w:rPr>
  </w:style>
  <w:style w:type="character" w:customStyle="1" w:styleId="385">
    <w:name w:val="16"/>
    <w:qFormat/>
    <w:uiPriority w:val="0"/>
    <w:rPr>
      <w:rFonts w:ascii="Times New Roman" w:hAnsi="Times New Roman"/>
      <w:sz w:val="21"/>
      <w:szCs w:val="21"/>
      <w:lang w:val="en-US" w:eastAsia="zh-CN" w:bidi="ar-SA"/>
    </w:rPr>
  </w:style>
  <w:style w:type="paragraph" w:customStyle="1" w:styleId="386">
    <w:name w:val="正文文本_0"/>
    <w:basedOn w:val="279"/>
    <w:next w:val="387"/>
    <w:qFormat/>
    <w:uiPriority w:val="0"/>
    <w:pPr>
      <w:spacing w:line="60" w:lineRule="auto"/>
    </w:pPr>
    <w:rPr>
      <w:rFonts w:ascii="仿宋_GB2312" w:eastAsia="仿宋_GB2312"/>
      <w:sz w:val="32"/>
    </w:rPr>
  </w:style>
  <w:style w:type="paragraph" w:customStyle="1" w:styleId="387">
    <w:name w:val="正文缩进_1"/>
    <w:basedOn w:val="279"/>
    <w:next w:val="279"/>
    <w:qFormat/>
    <w:uiPriority w:val="0"/>
    <w:pPr>
      <w:ind w:firstLine="420"/>
    </w:pPr>
    <w:rPr>
      <w:rFonts w:ascii="宋体"/>
      <w:color w:val="000000"/>
      <w:sz w:val="24"/>
      <w:szCs w:val="20"/>
    </w:rPr>
  </w:style>
  <w:style w:type="paragraph" w:customStyle="1" w:styleId="388">
    <w:name w:val="Table Paragraph"/>
    <w:basedOn w:val="96"/>
    <w:qFormat/>
    <w:uiPriority w:val="1"/>
    <w:rPr>
      <w:rFonts w:ascii="宋体" w:hAnsi="宋体" w:cs="宋体"/>
      <w:sz w:val="22"/>
      <w:lang w:val="zh-CN" w:bidi="zh-CN"/>
    </w:rPr>
  </w:style>
  <w:style w:type="paragraph" w:customStyle="1" w:styleId="389">
    <w:name w:val="Normal_19_2"/>
    <w:basedOn w:val="390"/>
    <w:qFormat/>
    <w:uiPriority w:val="0"/>
    <w:rPr>
      <w:rFonts w:ascii="Times New Roman" w:hAnsi="Times New Roman"/>
      <w:szCs w:val="21"/>
    </w:rPr>
  </w:style>
  <w:style w:type="paragraph" w:customStyle="1" w:styleId="390">
    <w:name w:val="正文_3_0"/>
    <w:qFormat/>
    <w:uiPriority w:val="0"/>
    <w:pPr>
      <w:widowControl w:val="0"/>
      <w:jc w:val="both"/>
    </w:pPr>
    <w:rPr>
      <w:rFonts w:ascii="Calibri" w:hAnsi="Calibri" w:eastAsia="宋体" w:cs="Times New Roman"/>
      <w:sz w:val="21"/>
      <w:szCs w:val="22"/>
      <w:lang w:val="en-US" w:eastAsia="zh-CN" w:bidi="ar-SA"/>
    </w:rPr>
  </w:style>
  <w:style w:type="paragraph" w:customStyle="1" w:styleId="391">
    <w:name w:val="正文文本2"/>
    <w:basedOn w:val="139"/>
    <w:qFormat/>
    <w:uiPriority w:val="0"/>
    <w:pPr>
      <w:spacing w:line="60" w:lineRule="auto"/>
    </w:pPr>
    <w:rPr>
      <w:rFonts w:ascii="仿宋_GB2312" w:eastAsia="仿宋_GB2312"/>
      <w:sz w:val="32"/>
      <w:szCs w:val="22"/>
    </w:rPr>
  </w:style>
  <w:style w:type="paragraph" w:customStyle="1" w:styleId="392">
    <w:name w:val="正文1_0"/>
    <w:basedOn w:val="368"/>
    <w:qFormat/>
    <w:uiPriority w:val="0"/>
    <w:pPr>
      <w:widowControl/>
      <w:spacing w:line="360" w:lineRule="auto"/>
      <w:ind w:left="357" w:firstLine="420"/>
      <w:jc w:val="left"/>
    </w:pPr>
    <w:rPr>
      <w:rFonts w:cs="Arial"/>
      <w:szCs w:val="20"/>
    </w:rPr>
  </w:style>
  <w:style w:type="paragraph" w:customStyle="1" w:styleId="393">
    <w:name w:val="Normal_19_2_0"/>
    <w:basedOn w:val="394"/>
    <w:qFormat/>
    <w:uiPriority w:val="0"/>
    <w:rPr>
      <w:rFonts w:ascii="Times New Roman" w:hAnsi="Times New Roman"/>
      <w:szCs w:val="21"/>
    </w:rPr>
  </w:style>
  <w:style w:type="paragraph" w:customStyle="1" w:styleId="394">
    <w:name w:val="正文_3_1"/>
    <w:qFormat/>
    <w:uiPriority w:val="0"/>
    <w:pPr>
      <w:widowControl w:val="0"/>
      <w:jc w:val="both"/>
    </w:pPr>
    <w:rPr>
      <w:rFonts w:ascii="Calibri" w:hAnsi="Calibri" w:eastAsia="宋体" w:cs="Times New Roman"/>
      <w:sz w:val="21"/>
      <w:szCs w:val="22"/>
      <w:lang w:val="en-US" w:eastAsia="zh-CN" w:bidi="ar-SA"/>
    </w:rPr>
  </w:style>
  <w:style w:type="paragraph" w:customStyle="1" w:styleId="395">
    <w:name w:val="正文缩进1"/>
    <w:basedOn w:val="1"/>
    <w:qFormat/>
    <w:uiPriority w:val="0"/>
    <w:pPr>
      <w:ind w:firstLine="420"/>
      <w:jc w:val="left"/>
    </w:pPr>
    <w:rPr>
      <w:rFonts w:ascii="宋体" w:hAnsi="Calibri" w:eastAsia="宋体" w:cs="Times New Roman"/>
      <w:sz w:val="24"/>
    </w:rPr>
  </w:style>
  <w:style w:type="paragraph" w:customStyle="1" w:styleId="396">
    <w:name w:val="纯文本1"/>
    <w:basedOn w:val="140"/>
    <w:qFormat/>
    <w:uiPriority w:val="0"/>
    <w:rPr>
      <w:rFonts w:ascii="宋体" w:hAnsi="Courier New" w:eastAsia="宋体" w:cs="Times New Roman"/>
    </w:rPr>
  </w:style>
  <w:style w:type="paragraph" w:customStyle="1" w:styleId="397">
    <w:name w:val="Normal_21_0"/>
    <w:next w:val="398"/>
    <w:qFormat/>
    <w:uiPriority w:val="0"/>
    <w:pPr>
      <w:widowControl w:val="0"/>
      <w:jc w:val="both"/>
    </w:pPr>
    <w:rPr>
      <w:rFonts w:ascii="Times New Roman" w:hAnsi="Times New Roman" w:eastAsia="宋体" w:cs="Times New Roman"/>
      <w:sz w:val="21"/>
      <w:szCs w:val="24"/>
      <w:lang w:val="en-US" w:eastAsia="zh-CN" w:bidi="ar-SA"/>
    </w:rPr>
  </w:style>
  <w:style w:type="paragraph" w:customStyle="1" w:styleId="398">
    <w:name w:val="Heading 1_0"/>
    <w:basedOn w:val="397"/>
    <w:next w:val="397"/>
    <w:qFormat/>
    <w:uiPriority w:val="0"/>
    <w:pPr>
      <w:keepNext/>
      <w:keepLines/>
      <w:spacing w:before="240" w:after="120" w:line="300" w:lineRule="auto"/>
      <w:jc w:val="center"/>
      <w:outlineLvl w:val="0"/>
    </w:pPr>
    <w:rPr>
      <w:rFonts w:ascii="宋体"/>
      <w:b/>
      <w:sz w:val="32"/>
      <w:szCs w:val="20"/>
    </w:rPr>
  </w:style>
  <w:style w:type="paragraph" w:customStyle="1" w:styleId="399">
    <w:name w:val="正文_12_0_0_0_0"/>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400">
    <w:name w:val="正文文本 字符"/>
    <w:qFormat/>
    <w:uiPriority w:val="0"/>
    <w:rPr>
      <w:rFonts w:ascii="楷体_GB2312" w:hAnsi="Arial" w:eastAsia="楷体_GB2312" w:cs="Times New Roman"/>
      <w:sz w:val="28"/>
      <w:szCs w:val="28"/>
    </w:rPr>
  </w:style>
  <w:style w:type="character" w:customStyle="1" w:styleId="401">
    <w:name w:val="正文文本缩进 字符"/>
    <w:qFormat/>
    <w:uiPriority w:val="0"/>
    <w:rPr>
      <w:rFonts w:ascii="楷体_GB2312" w:hAnsi="Times New Roman" w:eastAsia="楷体_GB2312" w:cs="Times New Roman"/>
      <w:sz w:val="32"/>
      <w:szCs w:val="32"/>
    </w:rPr>
  </w:style>
  <w:style w:type="character" w:customStyle="1" w:styleId="402">
    <w:name w:val="正文文本 字符1"/>
    <w:qFormat/>
    <w:uiPriority w:val="0"/>
    <w:rPr>
      <w:rFonts w:ascii="Calibri" w:hAnsi="Calibri"/>
      <w:sz w:val="28"/>
      <w:szCs w:val="24"/>
    </w:rPr>
  </w:style>
  <w:style w:type="character" w:customStyle="1" w:styleId="403">
    <w:name w:val="正文文本首行缩进 字符"/>
    <w:qFormat/>
    <w:uiPriority w:val="0"/>
    <w:rPr>
      <w:rFonts w:ascii="仿宋_GB2312" w:hAnsi="Calibri" w:eastAsia="仿宋_GB2312"/>
      <w:sz w:val="30"/>
      <w:szCs w:val="30"/>
    </w:rPr>
  </w:style>
  <w:style w:type="paragraph" w:customStyle="1" w:styleId="404">
    <w:name w:val="索引 41"/>
    <w:basedOn w:val="1"/>
    <w:next w:val="1"/>
    <w:semiHidden/>
    <w:qFormat/>
    <w:uiPriority w:val="0"/>
    <w:pPr>
      <w:ind w:left="1260"/>
    </w:pPr>
    <w:rPr>
      <w:rFonts w:eastAsia="Calibri" w:cs="宋体"/>
      <w:sz w:val="20"/>
      <w:szCs w:val="21"/>
      <w:lang w:val="zh-CN"/>
    </w:rPr>
  </w:style>
  <w:style w:type="character" w:customStyle="1" w:styleId="405">
    <w:name w:val="font5 Char"/>
    <w:qFormat/>
    <w:uiPriority w:val="0"/>
    <w:rPr>
      <w:rFonts w:ascii="宋体" w:hAnsi="宋体" w:eastAsia="宋体"/>
      <w:sz w:val="28"/>
      <w:szCs w:val="28"/>
      <w:lang w:val="en-US" w:eastAsia="zh-CN" w:bidi="ar-SA"/>
    </w:rPr>
  </w:style>
  <w:style w:type="character" w:customStyle="1" w:styleId="406">
    <w:name w:val="二级目录 Char"/>
    <w:link w:val="407"/>
    <w:qFormat/>
    <w:uiPriority w:val="0"/>
    <w:rPr>
      <w:b/>
      <w:sz w:val="30"/>
      <w:szCs w:val="28"/>
    </w:rPr>
  </w:style>
  <w:style w:type="paragraph" w:customStyle="1" w:styleId="407">
    <w:name w:val="二级目录"/>
    <w:next w:val="1"/>
    <w:link w:val="406"/>
    <w:qFormat/>
    <w:uiPriority w:val="0"/>
    <w:pPr>
      <w:numPr>
        <w:ilvl w:val="0"/>
        <w:numId w:val="1"/>
      </w:numPr>
      <w:tabs>
        <w:tab w:val="left" w:pos="907"/>
        <w:tab w:val="left" w:pos="1145"/>
      </w:tabs>
      <w:outlineLvl w:val="1"/>
    </w:pPr>
    <w:rPr>
      <w:rFonts w:ascii="Times New Roman" w:hAnsi="Times New Roman" w:eastAsia="宋体" w:cs="Times New Roman"/>
      <w:b/>
      <w:sz w:val="30"/>
      <w:szCs w:val="28"/>
      <w:lang w:val="en-US" w:eastAsia="zh-CN" w:bidi="ar-SA"/>
    </w:rPr>
  </w:style>
  <w:style w:type="character" w:customStyle="1" w:styleId="408">
    <w:name w:val="列出段落 Char"/>
    <w:link w:val="409"/>
    <w:qFormat/>
    <w:uiPriority w:val="0"/>
    <w:rPr>
      <w:rFonts w:ascii="Calibri" w:hAnsi="Calibri"/>
      <w:sz w:val="24"/>
      <w:szCs w:val="24"/>
      <w:lang w:eastAsia="en-US" w:bidi="en-US"/>
    </w:rPr>
  </w:style>
  <w:style w:type="paragraph" w:customStyle="1" w:styleId="409">
    <w:name w:val="列出段落1"/>
    <w:basedOn w:val="1"/>
    <w:link w:val="408"/>
    <w:qFormat/>
    <w:uiPriority w:val="0"/>
    <w:pPr>
      <w:widowControl/>
      <w:ind w:left="720"/>
      <w:contextualSpacing/>
      <w:jc w:val="left"/>
    </w:pPr>
    <w:rPr>
      <w:sz w:val="24"/>
      <w:szCs w:val="24"/>
      <w:lang w:eastAsia="en-US" w:bidi="en-US"/>
    </w:rPr>
  </w:style>
  <w:style w:type="paragraph" w:customStyle="1" w:styleId="410">
    <w:name w:val="Body Text(ch)"/>
    <w:basedOn w:val="1"/>
    <w:qFormat/>
    <w:uiPriority w:val="0"/>
    <w:pPr>
      <w:spacing w:after="120"/>
    </w:pPr>
    <w:rPr>
      <w:rFonts w:ascii="宋体" w:hAnsi="Arial"/>
      <w:bCs/>
      <w:iCs/>
      <w:szCs w:val="24"/>
    </w:rPr>
  </w:style>
  <w:style w:type="paragraph" w:customStyle="1" w:styleId="411">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41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4"/>
      <w:szCs w:val="24"/>
    </w:rPr>
  </w:style>
  <w:style w:type="paragraph" w:customStyle="1" w:styleId="413">
    <w:name w:val="Char"/>
    <w:basedOn w:val="1"/>
    <w:qFormat/>
    <w:uiPriority w:val="0"/>
    <w:pPr>
      <w:tabs>
        <w:tab w:val="left" w:pos="360"/>
      </w:tabs>
      <w:ind w:firstLine="200"/>
    </w:pPr>
    <w:rPr>
      <w:rFonts w:ascii="Times New Roman" w:hAnsi="Times New Roman"/>
      <w:sz w:val="28"/>
      <w:szCs w:val="30"/>
    </w:rPr>
  </w:style>
  <w:style w:type="paragraph" w:customStyle="1" w:styleId="414">
    <w:name w:val="Char1"/>
    <w:basedOn w:val="20"/>
    <w:qFormat/>
    <w:uiPriority w:val="0"/>
    <w:rPr>
      <w:rFonts w:ascii="Tahoma" w:hAnsi="Tahoma"/>
      <w:sz w:val="24"/>
      <w:szCs w:val="24"/>
    </w:rPr>
  </w:style>
  <w:style w:type="paragraph" w:customStyle="1" w:styleId="415">
    <w:name w:val="table_lines"/>
    <w:basedOn w:val="1"/>
    <w:qFormat/>
    <w:uiPriority w:val="0"/>
    <w:pPr>
      <w:widowControl/>
      <w:jc w:val="left"/>
    </w:pPr>
    <w:rPr>
      <w:rFonts w:ascii="Times New Roman" w:hAnsi="Times New Roman"/>
      <w:sz w:val="20"/>
      <w:szCs w:val="20"/>
      <w:lang w:val="de-DE" w:eastAsia="de-DE"/>
    </w:rPr>
  </w:style>
  <w:style w:type="paragraph" w:customStyle="1" w:styleId="416">
    <w:name w:val="附录1"/>
    <w:qFormat/>
    <w:uiPriority w:val="0"/>
    <w:pPr>
      <w:tabs>
        <w:tab w:val="left" w:pos="907"/>
      </w:tabs>
      <w:spacing w:before="240" w:line="600" w:lineRule="atLeast"/>
    </w:pPr>
    <w:rPr>
      <w:rFonts w:ascii="Times New Roman" w:hAnsi="Times New Roman" w:eastAsia="宋体" w:cs="Times New Roman"/>
      <w:b/>
      <w:i/>
      <w:sz w:val="28"/>
      <w:lang w:val="en-US" w:eastAsia="zh-CN" w:bidi="ar-SA"/>
    </w:rPr>
  </w:style>
  <w:style w:type="paragraph" w:customStyle="1" w:styleId="417">
    <w:name w:val="font7"/>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418">
    <w:name w:val="Char Char Char Char"/>
    <w:basedOn w:val="20"/>
    <w:qFormat/>
    <w:uiPriority w:val="0"/>
    <w:pPr>
      <w:spacing w:line="360" w:lineRule="auto"/>
    </w:pPr>
    <w:rPr>
      <w:rFonts w:ascii="Tahoma" w:hAnsi="Tahoma"/>
      <w:sz w:val="24"/>
      <w:szCs w:val="24"/>
    </w:rPr>
  </w:style>
  <w:style w:type="paragraph" w:customStyle="1" w:styleId="419">
    <w:name w:val="4"/>
    <w:basedOn w:val="1"/>
    <w:next w:val="42"/>
    <w:qFormat/>
    <w:uiPriority w:val="0"/>
    <w:pPr>
      <w:spacing w:line="360" w:lineRule="auto"/>
      <w:ind w:firstLine="420"/>
    </w:pPr>
    <w:rPr>
      <w:rFonts w:ascii="Times New Roman" w:hAnsi="Times New Roman"/>
      <w:color w:val="FF0000"/>
      <w:sz w:val="24"/>
      <w:szCs w:val="24"/>
    </w:rPr>
  </w:style>
  <w:style w:type="paragraph" w:customStyle="1" w:styleId="420">
    <w:name w:val="普通 (Web)"/>
    <w:basedOn w:val="1"/>
    <w:qFormat/>
    <w:uiPriority w:val="0"/>
    <w:pPr>
      <w:widowControl/>
      <w:spacing w:before="100" w:beforeAutospacing="1" w:after="100" w:afterAutospacing="1"/>
      <w:jc w:val="left"/>
    </w:pPr>
    <w:rPr>
      <w:rFonts w:ascii="宋体" w:hAnsi="宋体"/>
      <w:sz w:val="24"/>
      <w:szCs w:val="24"/>
    </w:rPr>
  </w:style>
  <w:style w:type="paragraph" w:customStyle="1" w:styleId="421">
    <w:name w:val="Char Char Char Char Char Char Char Char Char Char"/>
    <w:basedOn w:val="1"/>
    <w:qFormat/>
    <w:uiPriority w:val="0"/>
    <w:pPr>
      <w:spacing w:line="360" w:lineRule="auto"/>
    </w:pPr>
    <w:rPr>
      <w:rFonts w:ascii="Times New Roman" w:hAnsi="Times New Roman"/>
      <w:sz w:val="24"/>
      <w:szCs w:val="20"/>
    </w:rPr>
  </w:style>
  <w:style w:type="paragraph" w:customStyle="1" w:styleId="422">
    <w:name w:val="样式1"/>
    <w:basedOn w:val="1"/>
    <w:qFormat/>
    <w:uiPriority w:val="0"/>
    <w:pPr>
      <w:numPr>
        <w:ilvl w:val="0"/>
        <w:numId w:val="2"/>
      </w:numPr>
      <w:tabs>
        <w:tab w:val="left" w:pos="709"/>
      </w:tabs>
    </w:pPr>
    <w:rPr>
      <w:rFonts w:ascii="宋体" w:hAnsi="宋体"/>
      <w:szCs w:val="21"/>
    </w:rPr>
  </w:style>
  <w:style w:type="paragraph" w:customStyle="1" w:styleId="423">
    <w:name w:val="font6"/>
    <w:basedOn w:val="1"/>
    <w:qFormat/>
    <w:uiPriority w:val="0"/>
    <w:pPr>
      <w:widowControl/>
      <w:spacing w:before="100" w:beforeAutospacing="1" w:after="100" w:afterAutospacing="1"/>
      <w:jc w:val="left"/>
    </w:pPr>
    <w:rPr>
      <w:rFonts w:hint="eastAsia" w:ascii="宋体" w:hAnsi="宋体"/>
      <w:sz w:val="28"/>
      <w:szCs w:val="28"/>
      <w:u w:val="single"/>
    </w:rPr>
  </w:style>
  <w:style w:type="paragraph" w:customStyle="1" w:styleId="424">
    <w:name w:val="xl25"/>
    <w:basedOn w:val="1"/>
    <w:qFormat/>
    <w:uiPriority w:val="0"/>
    <w:pPr>
      <w:widowControl/>
      <w:spacing w:before="100" w:beforeAutospacing="1" w:after="100" w:afterAutospacing="1"/>
      <w:jc w:val="center"/>
    </w:pPr>
    <w:rPr>
      <w:rFonts w:ascii="Arial Unicode MS" w:hAnsi="Arial Unicode MS" w:eastAsia="Arial Unicode MS" w:cs="Arial Unicode MS"/>
      <w:sz w:val="24"/>
      <w:szCs w:val="24"/>
    </w:rPr>
  </w:style>
  <w:style w:type="paragraph" w:customStyle="1" w:styleId="425">
    <w:name w:val="图标"/>
    <w:basedOn w:val="1"/>
    <w:next w:val="1"/>
    <w:qFormat/>
    <w:uiPriority w:val="0"/>
    <w:pPr>
      <w:tabs>
        <w:tab w:val="left" w:pos="567"/>
        <w:tab w:val="left" w:pos="840"/>
      </w:tabs>
      <w:spacing w:before="120" w:after="120" w:line="320" w:lineRule="atLeast"/>
      <w:ind w:left="840" w:hanging="420"/>
      <w:jc w:val="center"/>
    </w:pPr>
    <w:rPr>
      <w:rFonts w:ascii="Times New Roman" w:hAnsi="Times New Roman" w:eastAsia="仿宋_GB2312"/>
      <w:sz w:val="24"/>
      <w:szCs w:val="20"/>
    </w:rPr>
  </w:style>
  <w:style w:type="paragraph" w:customStyle="1" w:styleId="426">
    <w:name w:val="标题3"/>
    <w:basedOn w:val="1"/>
    <w:next w:val="1"/>
    <w:qFormat/>
    <w:uiPriority w:val="0"/>
    <w:pPr>
      <w:spacing w:line="590" w:lineRule="atLeast"/>
      <w:ind w:firstLine="624"/>
    </w:pPr>
    <w:rPr>
      <w:rFonts w:ascii="方正黑体_GBK" w:hAnsi="Times New Roman" w:eastAsia="方正黑体_GBK"/>
      <w:sz w:val="32"/>
      <w:szCs w:val="32"/>
    </w:rPr>
  </w:style>
  <w:style w:type="paragraph" w:customStyle="1" w:styleId="42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428">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sz w:val="24"/>
      <w:szCs w:val="24"/>
    </w:rPr>
  </w:style>
  <w:style w:type="paragraph" w:customStyle="1" w:styleId="429">
    <w:name w:val="Char Char Char Char Char Char Char Char"/>
    <w:basedOn w:val="1"/>
    <w:qFormat/>
    <w:uiPriority w:val="0"/>
    <w:pPr>
      <w:widowControl/>
      <w:spacing w:after="160" w:line="240" w:lineRule="exact"/>
      <w:jc w:val="left"/>
    </w:pPr>
    <w:rPr>
      <w:rFonts w:ascii="Verdana" w:hAnsi="Verdana"/>
      <w:sz w:val="20"/>
      <w:szCs w:val="20"/>
      <w:lang w:eastAsia="en-US"/>
    </w:rPr>
  </w:style>
  <w:style w:type="paragraph" w:customStyle="1" w:styleId="430">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sz w:val="24"/>
      <w:szCs w:val="24"/>
    </w:rPr>
  </w:style>
  <w:style w:type="paragraph" w:customStyle="1" w:styleId="431">
    <w:name w:val="Char Char Char Char Char Char Char Char1"/>
    <w:basedOn w:val="1"/>
    <w:qFormat/>
    <w:uiPriority w:val="0"/>
    <w:pPr>
      <w:widowControl/>
      <w:spacing w:after="160" w:line="240" w:lineRule="exact"/>
      <w:jc w:val="left"/>
    </w:pPr>
    <w:rPr>
      <w:rFonts w:ascii="Verdana" w:hAnsi="Verdana"/>
      <w:sz w:val="20"/>
      <w:szCs w:val="20"/>
      <w:lang w:eastAsia="en-US"/>
    </w:rPr>
  </w:style>
  <w:style w:type="paragraph" w:customStyle="1" w:styleId="432">
    <w:name w:val="xl30"/>
    <w:basedOn w:val="1"/>
    <w:qFormat/>
    <w:uiPriority w:val="0"/>
    <w:pPr>
      <w:widowControl/>
      <w:spacing w:before="100" w:beforeAutospacing="1" w:after="100" w:afterAutospacing="1"/>
      <w:jc w:val="center"/>
    </w:pPr>
    <w:rPr>
      <w:rFonts w:ascii="宋体" w:hAnsi="宋体"/>
      <w:b/>
      <w:bCs/>
      <w:sz w:val="36"/>
      <w:szCs w:val="36"/>
    </w:rPr>
  </w:style>
  <w:style w:type="paragraph" w:customStyle="1" w:styleId="433">
    <w:name w:val="Char Char Char Char1"/>
    <w:basedOn w:val="20"/>
    <w:qFormat/>
    <w:uiPriority w:val="0"/>
    <w:pPr>
      <w:spacing w:line="360" w:lineRule="auto"/>
    </w:pPr>
    <w:rPr>
      <w:rFonts w:ascii="Tahoma" w:hAnsi="Tahoma"/>
      <w:sz w:val="24"/>
      <w:szCs w:val="24"/>
    </w:rPr>
  </w:style>
  <w:style w:type="paragraph" w:customStyle="1" w:styleId="434">
    <w:name w:val="table_1stline"/>
    <w:basedOn w:val="1"/>
    <w:qFormat/>
    <w:uiPriority w:val="0"/>
    <w:pPr>
      <w:widowControl/>
      <w:spacing w:before="120"/>
      <w:jc w:val="left"/>
    </w:pPr>
    <w:rPr>
      <w:rFonts w:ascii="Times New Roman" w:hAnsi="Times New Roman"/>
      <w:bCs/>
      <w:sz w:val="20"/>
      <w:szCs w:val="20"/>
      <w:lang w:val="de-DE" w:eastAsia="de-DE"/>
    </w:rPr>
  </w:style>
  <w:style w:type="paragraph" w:customStyle="1" w:styleId="435">
    <w:name w:val="font5"/>
    <w:basedOn w:val="1"/>
    <w:qFormat/>
    <w:uiPriority w:val="0"/>
    <w:pPr>
      <w:widowControl/>
      <w:spacing w:before="100" w:beforeAutospacing="1" w:after="100" w:afterAutospacing="1"/>
      <w:jc w:val="left"/>
    </w:pPr>
    <w:rPr>
      <w:rFonts w:hint="eastAsia" w:ascii="宋体" w:hAnsi="宋体"/>
      <w:sz w:val="28"/>
      <w:szCs w:val="28"/>
    </w:rPr>
  </w:style>
  <w:style w:type="paragraph" w:customStyle="1" w:styleId="436">
    <w:name w:val="标题1"/>
    <w:basedOn w:val="1"/>
    <w:next w:val="1"/>
    <w:qFormat/>
    <w:uiPriority w:val="0"/>
    <w:pPr>
      <w:tabs>
        <w:tab w:val="left" w:pos="9193"/>
        <w:tab w:val="left" w:pos="9827"/>
      </w:tabs>
      <w:spacing w:line="700" w:lineRule="atLeast"/>
      <w:jc w:val="center"/>
    </w:pPr>
    <w:rPr>
      <w:rFonts w:ascii="方正小标宋_GBK" w:hAnsi="Times New Roman" w:eastAsia="方正小标宋_GBK"/>
      <w:sz w:val="44"/>
      <w:szCs w:val="20"/>
    </w:rPr>
  </w:style>
  <w:style w:type="paragraph" w:customStyle="1" w:styleId="437">
    <w:name w:val="修订1"/>
    <w:semiHidden/>
    <w:qFormat/>
    <w:uiPriority w:val="99"/>
    <w:rPr>
      <w:rFonts w:ascii="Times New Roman" w:hAnsi="Times New Roman" w:eastAsia="宋体" w:cs="Times New Roman"/>
      <w:sz w:val="21"/>
      <w:szCs w:val="21"/>
      <w:lang w:val="en-US" w:eastAsia="zh-CN" w:bidi="ar-SA"/>
    </w:rPr>
  </w:style>
  <w:style w:type="table" w:customStyle="1" w:styleId="438">
    <w:name w:val="Table Normal"/>
    <w:qFormat/>
    <w:uiPriority w:val="0"/>
    <w:rPr>
      <w:lang w:val="en-US" w:eastAsia="zh-CN" w:bidi="ar-SA"/>
    </w:rPr>
    <w:tblPr>
      <w:tblCellMar>
        <w:top w:w="0" w:type="dxa"/>
        <w:left w:w="0" w:type="dxa"/>
        <w:bottom w:w="0" w:type="dxa"/>
        <w:right w:w="0" w:type="dxa"/>
      </w:tblCellMar>
    </w:tblPr>
  </w:style>
  <w:style w:type="paragraph" w:customStyle="1" w:styleId="439">
    <w:name w:val="正文文本12"/>
    <w:basedOn w:val="1"/>
    <w:qFormat/>
    <w:uiPriority w:val="1"/>
    <w:pPr>
      <w:ind w:left="120"/>
    </w:pPr>
    <w:rPr>
      <w:rFonts w:ascii="宋体" w:hAnsi="宋体" w:cs="宋体"/>
      <w:szCs w:val="21"/>
      <w:lang w:val="zh-CN" w:bidi="zh-CN"/>
    </w:rPr>
  </w:style>
  <w:style w:type="paragraph" w:customStyle="1" w:styleId="440">
    <w:name w:val="首行缩进"/>
    <w:basedOn w:val="1"/>
    <w:qFormat/>
    <w:uiPriority w:val="0"/>
    <w:pPr>
      <w:ind w:firstLine="480"/>
    </w:pPr>
    <w:rPr>
      <w:rFonts w:ascii="Times New Roman" w:hAnsi="Times New Roman"/>
      <w:szCs w:val="21"/>
      <w:lang w:val="zh-CN"/>
    </w:rPr>
  </w:style>
  <w:style w:type="paragraph" w:customStyle="1" w:styleId="441">
    <w:name w:val="部分1"/>
    <w:basedOn w:val="1"/>
    <w:qFormat/>
    <w:uiPriority w:val="0"/>
    <w:pPr>
      <w:keepNext/>
      <w:pageBreakBefore/>
      <w:tabs>
        <w:tab w:val="left" w:pos="720"/>
      </w:tabs>
      <w:spacing w:line="360" w:lineRule="auto"/>
      <w:jc w:val="center"/>
      <w:outlineLvl w:val="0"/>
    </w:pPr>
    <w:rPr>
      <w:rFonts w:ascii="Times New Roman" w:hAnsi="Times New Roman" w:eastAsia="黑体"/>
      <w:b/>
      <w:sz w:val="36"/>
      <w:szCs w:val="20"/>
    </w:rPr>
  </w:style>
  <w:style w:type="character" w:customStyle="1" w:styleId="442">
    <w:name w:val="15"/>
    <w:qFormat/>
    <w:uiPriority w:val="0"/>
    <w:rPr>
      <w:rFonts w:hint="default" w:ascii="Times New Roman" w:hAnsi="Times New Roman" w:cs="Times New Roman"/>
    </w:rPr>
  </w:style>
  <w:style w:type="paragraph" w:customStyle="1" w:styleId="443">
    <w:name w:val="正文文本缩进 2_0"/>
    <w:basedOn w:val="279"/>
    <w:qFormat/>
    <w:uiPriority w:val="0"/>
    <w:pPr>
      <w:spacing w:line="540" w:lineRule="exact"/>
      <w:ind w:firstLine="720"/>
      <w:jc w:val="left"/>
    </w:pPr>
    <w:rPr>
      <w:rFonts w:ascii="仿宋_GB2312" w:hAnsi="仿宋_GB2312" w:cs="宋体"/>
      <w:sz w:val="32"/>
      <w:szCs w:val="32"/>
    </w:rPr>
  </w:style>
  <w:style w:type="character" w:customStyle="1" w:styleId="444">
    <w:name w:val="10"/>
    <w:qFormat/>
    <w:uiPriority w:val="0"/>
    <w:rPr>
      <w:rFonts w:hint="default" w:ascii="Times New Roman" w:hAnsi="Times New Roman" w:cs="Times New Roman"/>
    </w:rPr>
  </w:style>
  <w:style w:type="paragraph" w:customStyle="1" w:styleId="445">
    <w:name w:val="正文_16_1"/>
    <w:basedOn w:val="1"/>
    <w:qFormat/>
    <w:uiPriority w:val="0"/>
    <w:rPr>
      <w:rFonts w:ascii="Times New Roman" w:hAnsi="Times New Roman"/>
      <w:szCs w:val="21"/>
    </w:rPr>
  </w:style>
  <w:style w:type="paragraph" w:customStyle="1" w:styleId="446">
    <w:name w:val="页脚1"/>
    <w:basedOn w:val="1"/>
    <w:qFormat/>
    <w:uiPriority w:val="0"/>
    <w:pPr>
      <w:tabs>
        <w:tab w:val="center" w:pos="4153"/>
        <w:tab w:val="right" w:pos="8306"/>
      </w:tabs>
      <w:jc w:val="left"/>
    </w:pPr>
    <w:rPr>
      <w:sz w:val="18"/>
      <w:szCs w:val="18"/>
    </w:rPr>
  </w:style>
  <w:style w:type="character" w:customStyle="1" w:styleId="447">
    <w:name w:val="页码1"/>
    <w:qFormat/>
    <w:uiPriority w:val="0"/>
  </w:style>
  <w:style w:type="paragraph" w:customStyle="1" w:styleId="448">
    <w:name w:val="*正文"/>
    <w:basedOn w:val="4"/>
    <w:qFormat/>
    <w:uiPriority w:val="0"/>
    <w:pPr>
      <w:ind w:firstLine="200"/>
    </w:pPr>
    <w:rPr>
      <w:rFonts w:ascii="宋体" w:hAnsi="宋体"/>
      <w:color w:val="000000"/>
      <w:sz w:val="24"/>
      <w:szCs w:val="24"/>
    </w:rPr>
  </w:style>
  <w:style w:type="paragraph" w:customStyle="1" w:styleId="449">
    <w:name w:val="*正文_0"/>
    <w:basedOn w:val="450"/>
    <w:qFormat/>
    <w:uiPriority w:val="0"/>
    <w:pPr>
      <w:spacing w:line="360" w:lineRule="auto"/>
      <w:ind w:firstLine="200"/>
    </w:pPr>
    <w:rPr>
      <w:rFonts w:ascii="宋体" w:hAnsi="宋体" w:eastAsia="Arial" w:cs="Arial"/>
      <w:color w:val="000000"/>
      <w:sz w:val="24"/>
    </w:rPr>
  </w:style>
  <w:style w:type="paragraph" w:customStyle="1" w:styleId="450">
    <w:name w:val="正文缩进_2"/>
    <w:basedOn w:val="302"/>
    <w:unhideWhenUsed/>
    <w:qFormat/>
    <w:uiPriority w:val="0"/>
    <w:pPr>
      <w:widowControl/>
      <w:ind w:firstLine="420"/>
      <w:jc w:val="left"/>
    </w:pPr>
    <w:rPr>
      <w:rFonts w:ascii="Times New Roman" w:hAnsi="Times New Roman"/>
      <w:sz w:val="20"/>
      <w:szCs w:val="24"/>
    </w:rPr>
  </w:style>
  <w:style w:type="paragraph" w:customStyle="1" w:styleId="451">
    <w:name w:val="*正文_0_0"/>
    <w:basedOn w:val="302"/>
    <w:qFormat/>
    <w:uiPriority w:val="0"/>
    <w:pPr>
      <w:widowControl/>
      <w:spacing w:line="360" w:lineRule="auto"/>
      <w:ind w:firstLine="200"/>
      <w:jc w:val="left"/>
    </w:pPr>
    <w:rPr>
      <w:rFonts w:ascii="宋体" w:hAnsi="宋体" w:eastAsia="Arial" w:cs="Arial"/>
      <w:color w:val="000000"/>
      <w:sz w:val="24"/>
      <w:szCs w:val="24"/>
    </w:rPr>
  </w:style>
  <w:style w:type="paragraph" w:customStyle="1" w:styleId="452">
    <w:name w:val="无间隔1_0_0"/>
    <w:basedOn w:val="302"/>
    <w:qFormat/>
    <w:uiPriority w:val="0"/>
    <w:rPr>
      <w:rFonts w:ascii="Times New Roman" w:hAnsi="Times New Roman"/>
      <w:szCs w:val="21"/>
    </w:rPr>
  </w:style>
  <w:style w:type="paragraph" w:customStyle="1" w:styleId="453">
    <w:name w:val="正文_0_2"/>
    <w:qFormat/>
    <w:uiPriority w:val="0"/>
    <w:pPr>
      <w:widowControl w:val="0"/>
      <w:jc w:val="both"/>
    </w:pPr>
    <w:rPr>
      <w:rFonts w:ascii="Times New Roman" w:hAnsi="Times New Roman" w:eastAsia="宋体" w:cs="Times New Roman"/>
      <w:szCs w:val="24"/>
      <w:lang w:val="en-US" w:eastAsia="zh-CN" w:bidi="ar-SA"/>
    </w:rPr>
  </w:style>
  <w:style w:type="paragraph" w:customStyle="1" w:styleId="454">
    <w:name w:val="标题 4_0"/>
    <w:basedOn w:val="455"/>
    <w:next w:val="455"/>
    <w:unhideWhenUsed/>
    <w:qFormat/>
    <w:uiPriority w:val="9"/>
    <w:pPr>
      <w:keepNext/>
      <w:keepLines/>
      <w:spacing w:before="280" w:after="290" w:line="372" w:lineRule="auto"/>
      <w:outlineLvl w:val="3"/>
    </w:pPr>
    <w:rPr>
      <w:rFonts w:ascii="Arial" w:hAnsi="Arial" w:eastAsia="黑体"/>
      <w:b/>
      <w:sz w:val="28"/>
    </w:rPr>
  </w:style>
  <w:style w:type="paragraph" w:customStyle="1" w:styleId="455">
    <w:name w:val="正文4"/>
    <w:qFormat/>
    <w:uiPriority w:val="0"/>
    <w:pPr>
      <w:widowControl w:val="0"/>
      <w:jc w:val="both"/>
    </w:pPr>
    <w:rPr>
      <w:rFonts w:ascii="Calibri" w:hAnsi="Calibri" w:eastAsia="宋体" w:cs="Times New Roman"/>
      <w:lang w:val="en-US" w:eastAsia="zh-CN" w:bidi="ar-SA"/>
    </w:rPr>
  </w:style>
  <w:style w:type="paragraph" w:customStyle="1" w:styleId="456">
    <w:name w:val="正文_3_0_0"/>
    <w:qFormat/>
    <w:uiPriority w:val="0"/>
    <w:pPr>
      <w:widowControl w:val="0"/>
      <w:jc w:val="both"/>
    </w:pPr>
    <w:rPr>
      <w:rFonts w:ascii="Times New Roman" w:hAnsi="Times New Roman" w:eastAsia="宋体" w:cs="Times New Roman"/>
      <w:lang w:val="en-US" w:eastAsia="zh-CN" w:bidi="ar-SA"/>
    </w:rPr>
  </w:style>
  <w:style w:type="paragraph" w:customStyle="1" w:styleId="457">
    <w:name w:val="p17_0_0"/>
    <w:basedOn w:val="345"/>
    <w:qFormat/>
    <w:uiPriority w:val="0"/>
    <w:pPr>
      <w:widowControl/>
      <w:spacing w:before="100" w:beforeAutospacing="1" w:after="100" w:afterAutospacing="1"/>
      <w:jc w:val="left"/>
    </w:pPr>
    <w:rPr>
      <w:rFonts w:ascii="宋体" w:hAnsi="宋体" w:eastAsia="Times New Roman" w:cs="宋体"/>
      <w:sz w:val="24"/>
      <w:szCs w:val="24"/>
    </w:rPr>
  </w:style>
  <w:style w:type="paragraph" w:customStyle="1" w:styleId="458">
    <w:name w:val="p17_0"/>
    <w:basedOn w:val="7"/>
    <w:qFormat/>
    <w:uiPriority w:val="0"/>
    <w:pPr>
      <w:widowControl/>
      <w:spacing w:before="100" w:beforeAutospacing="1" w:after="100" w:afterAutospacing="1"/>
      <w:jc w:val="left"/>
    </w:pPr>
    <w:rPr>
      <w:rFonts w:ascii="宋体" w:hAnsi="宋体" w:eastAsia="Times New Roman" w:cs="宋体"/>
      <w:sz w:val="24"/>
      <w:szCs w:val="24"/>
    </w:rPr>
  </w:style>
  <w:style w:type="paragraph" w:customStyle="1" w:styleId="459">
    <w:name w:val="普通(网站)11"/>
    <w:basedOn w:val="1"/>
    <w:qFormat/>
    <w:uiPriority w:val="99"/>
    <w:rPr>
      <w:sz w:val="24"/>
    </w:rPr>
  </w:style>
  <w:style w:type="paragraph" w:customStyle="1" w:styleId="46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61">
    <w:name w:val="Table Text"/>
    <w:semiHidden/>
    <w:qFormat/>
    <w:uiPriority w:val="0"/>
    <w:pPr>
      <w:kinsoku w:val="0"/>
      <w:autoSpaceDE w:val="0"/>
      <w:autoSpaceDN w:val="0"/>
      <w:adjustRightInd w:val="0"/>
      <w:snapToGrid w:val="0"/>
      <w:spacing w:line="240" w:lineRule="auto"/>
      <w:jc w:val="left"/>
      <w:textAlignment w:val="baseline"/>
    </w:pPr>
    <w:rPr>
      <w:rFonts w:ascii="方正仿宋_GBK" w:hAnsi="方正仿宋_GBK" w:eastAsia="方正仿宋_GBK" w:cs="方正仿宋_GBK"/>
      <w:snapToGrid w:val="0"/>
      <w:color w:val="000000"/>
      <w:kern w:val="0"/>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65</Pages>
  <Words>14665</Words>
  <Characters>15576</Characters>
  <Lines>224</Lines>
  <Paragraphs>63</Paragraphs>
  <TotalTime>39</TotalTime>
  <ScaleCrop>false</ScaleCrop>
  <LinksUpToDate>false</LinksUpToDate>
  <CharactersWithSpaces>15755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2023-07-23T13:07:00Z</dcterms:created>
  <dc:creator>宿迁政府采购.晗然</dc:creator>
  <cp:lastModifiedBy>Administrator</cp:lastModifiedBy>
  <cp:lastPrinted>2024-12-16T04:18:00Z</cp:lastPrinted>
  <dcterms:modified xsi:type="dcterms:W3CDTF">2025-07-25T01:04:14Z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9700F14D1EE24114AF7B31CC6F65981F_13</vt:lpwstr>
  </property>
  <property fmtid="{D5CDD505-2E9C-101B-9397-08002B2CF9AE}" pid="4" name="KSOTemplateDocerSaveRecord">
    <vt:lpwstr>eyJoZGlkIjoiMmFiYTFjMDQ3YTlkNzExYmU2M2I1NWE1Yjc2OWMyMmMiLCJ1c2VySWQiOiI1MjE1NDIwMjcifQ==</vt:lpwstr>
  </property>
</Properties>
</file>